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24" w:rsidRPr="00803EC4" w:rsidRDefault="00901EF7" w:rsidP="004304BF">
      <w:pPr>
        <w:pStyle w:val="Textoindependiente"/>
        <w:spacing w:before="8"/>
        <w:ind w:right="574"/>
      </w:pPr>
      <w:r w:rsidRPr="00803EC4">
        <w:rPr>
          <w:noProof/>
          <w:lang w:val="en-US" w:eastAsia="en-US" w:bidi="ar-SA"/>
        </w:rPr>
        <w:drawing>
          <wp:anchor distT="0" distB="0" distL="0" distR="0" simplePos="0" relativeHeight="268425359" behindDoc="1" locked="0" layoutInCell="1" allowOverlap="1" wp14:anchorId="6B6220BF" wp14:editId="2E8F27FD">
            <wp:simplePos x="0" y="0"/>
            <wp:positionH relativeFrom="page">
              <wp:posOffset>819149</wp:posOffset>
            </wp:positionH>
            <wp:positionV relativeFrom="page">
              <wp:align>top</wp:align>
            </wp:positionV>
            <wp:extent cx="6096000" cy="10487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0487025"/>
                    </a:xfrm>
                    <a:prstGeom prst="rect">
                      <a:avLst/>
                    </a:prstGeom>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spacing w:before="5"/>
        <w:rPr>
          <w:b/>
        </w:rPr>
      </w:pPr>
    </w:p>
    <w:p w:rsidR="00796C24" w:rsidRPr="00803EC4" w:rsidRDefault="00901EF7" w:rsidP="004304BF">
      <w:pPr>
        <w:spacing w:line="276" w:lineRule="auto"/>
        <w:ind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rsidP="004304BF">
      <w:pPr>
        <w:jc w:val="center"/>
        <w:rPr>
          <w:b/>
          <w:sz w:val="20"/>
          <w:szCs w:val="20"/>
        </w:rPr>
      </w:pPr>
      <w:r w:rsidRPr="00803EC4">
        <w:rPr>
          <w:b/>
          <w:sz w:val="20"/>
          <w:szCs w:val="20"/>
        </w:rPr>
        <w:t>Contrato de Préstamo BIRF Nº 8682-PE</w:t>
      </w:r>
    </w:p>
    <w:p w:rsidR="00796C24" w:rsidRPr="00803EC4" w:rsidRDefault="00796C24">
      <w:pPr>
        <w:pStyle w:val="Textoindependiente"/>
        <w:spacing w:before="2"/>
        <w:rPr>
          <w:b/>
        </w:rPr>
      </w:pPr>
    </w:p>
    <w:p w:rsidR="004304BF" w:rsidRDefault="00901EF7" w:rsidP="00AB6EF4">
      <w:pPr>
        <w:pStyle w:val="Ttulo2"/>
        <w:ind w:left="0" w:right="425"/>
        <w:rPr>
          <w:rFonts w:ascii="Arial" w:hAnsi="Arial" w:cs="Arial"/>
        </w:rPr>
      </w:pPr>
      <w:r w:rsidRPr="00803EC4">
        <w:rPr>
          <w:rFonts w:ascii="Arial" w:hAnsi="Arial" w:cs="Arial"/>
        </w:rPr>
        <w:t xml:space="preserve">INVITACIÓN A PRESENTAR EXPRESIONES DE INTERÉS SERVICIO DE </w:t>
      </w:r>
    </w:p>
    <w:p w:rsidR="00796C24" w:rsidRDefault="00901EF7" w:rsidP="00AB6EF4">
      <w:pPr>
        <w:pStyle w:val="Ttulo2"/>
        <w:ind w:left="0" w:right="425"/>
        <w:rPr>
          <w:rFonts w:ascii="Arial" w:hAnsi="Arial" w:cs="Arial"/>
        </w:rPr>
      </w:pPr>
      <w:r w:rsidRPr="00803EC4">
        <w:rPr>
          <w:rFonts w:ascii="Arial" w:hAnsi="Arial" w:cs="Arial"/>
        </w:rPr>
        <w:t>CONSULTORIA INDIVIDUAL</w:t>
      </w:r>
    </w:p>
    <w:p w:rsidR="00AB6EF4" w:rsidRPr="00803EC4" w:rsidRDefault="00AB6EF4" w:rsidP="00AB6EF4">
      <w:pPr>
        <w:pStyle w:val="Ttulo2"/>
        <w:ind w:left="0" w:right="425"/>
        <w:rPr>
          <w:rFonts w:ascii="Arial" w:hAnsi="Arial" w:cs="Arial"/>
        </w:rPr>
      </w:pPr>
    </w:p>
    <w:p w:rsidR="00796C24" w:rsidRPr="00803EC4" w:rsidRDefault="00901EF7">
      <w:pPr>
        <w:pStyle w:val="Textoindependiente"/>
        <w:ind w:left="112" w:right="481"/>
        <w:jc w:val="both"/>
      </w:pPr>
      <w:r w:rsidRPr="00803EC4">
        <w:rPr>
          <w:spacing w:val="-3"/>
        </w:rPr>
        <w:t>El</w:t>
      </w:r>
      <w:r w:rsidRPr="00803EC4">
        <w:rPr>
          <w:spacing w:val="-5"/>
        </w:rPr>
        <w:t xml:space="preserve"> </w:t>
      </w:r>
      <w:r w:rsidRPr="00803EC4">
        <w:t>08</w:t>
      </w:r>
      <w:r w:rsidRPr="00803EC4">
        <w:rPr>
          <w:spacing w:val="-8"/>
        </w:rPr>
        <w:t xml:space="preserve"> </w:t>
      </w:r>
      <w:r w:rsidRPr="00803EC4">
        <w:t>de</w:t>
      </w:r>
      <w:r w:rsidRPr="00803EC4">
        <w:rPr>
          <w:spacing w:val="-7"/>
        </w:rPr>
        <w:t xml:space="preserve"> </w:t>
      </w:r>
      <w:r w:rsidRPr="00803EC4">
        <w:rPr>
          <w:spacing w:val="-3"/>
        </w:rPr>
        <w:t>febrero</w:t>
      </w:r>
      <w:r w:rsidRPr="00803EC4">
        <w:rPr>
          <w:spacing w:val="-5"/>
        </w:rPr>
        <w:t xml:space="preserve"> </w:t>
      </w:r>
      <w:r w:rsidRPr="00803EC4">
        <w:rPr>
          <w:spacing w:val="-3"/>
        </w:rPr>
        <w:t>del</w:t>
      </w:r>
      <w:r w:rsidRPr="00803EC4">
        <w:rPr>
          <w:spacing w:val="-4"/>
        </w:rPr>
        <w:t xml:space="preserve"> </w:t>
      </w:r>
      <w:r w:rsidRPr="00803EC4">
        <w:t>2017</w:t>
      </w:r>
      <w:r w:rsidRPr="00803EC4">
        <w:rPr>
          <w:spacing w:val="-8"/>
        </w:rPr>
        <w:t xml:space="preserve"> </w:t>
      </w:r>
      <w:r w:rsidRPr="00803EC4">
        <w:t>el</w:t>
      </w:r>
      <w:r w:rsidRPr="00803EC4">
        <w:rPr>
          <w:spacing w:val="-5"/>
        </w:rPr>
        <w:t xml:space="preserve"> </w:t>
      </w:r>
      <w:r w:rsidRPr="00803EC4">
        <w:rPr>
          <w:spacing w:val="-3"/>
        </w:rPr>
        <w:t>Gobierno</w:t>
      </w:r>
      <w:r w:rsidRPr="00803EC4">
        <w:rPr>
          <w:spacing w:val="-7"/>
        </w:rPr>
        <w:t xml:space="preserve"> </w:t>
      </w:r>
      <w:r w:rsidRPr="00803EC4">
        <w:t>de</w:t>
      </w:r>
      <w:r w:rsidRPr="00803EC4">
        <w:rPr>
          <w:spacing w:val="-8"/>
        </w:rPr>
        <w:t xml:space="preserve"> </w:t>
      </w:r>
      <w:r w:rsidRPr="00803EC4">
        <w:t>la</w:t>
      </w:r>
      <w:r w:rsidRPr="00803EC4">
        <w:rPr>
          <w:spacing w:val="-8"/>
        </w:rPr>
        <w:t xml:space="preserve"> </w:t>
      </w:r>
      <w:r w:rsidRPr="00803EC4">
        <w:rPr>
          <w:spacing w:val="-3"/>
        </w:rPr>
        <w:t>República</w:t>
      </w:r>
      <w:r w:rsidRPr="00803EC4">
        <w:rPr>
          <w:spacing w:val="-8"/>
        </w:rPr>
        <w:t xml:space="preserve"> </w:t>
      </w:r>
      <w:r w:rsidRPr="00803EC4">
        <w:rPr>
          <w:spacing w:val="-3"/>
        </w:rPr>
        <w:t>del</w:t>
      </w:r>
      <w:r w:rsidRPr="00803EC4">
        <w:rPr>
          <w:spacing w:val="-1"/>
        </w:rPr>
        <w:t xml:space="preserve"> </w:t>
      </w:r>
      <w:r w:rsidRPr="00803EC4">
        <w:rPr>
          <w:spacing w:val="-3"/>
        </w:rPr>
        <w:t>Perú</w:t>
      </w:r>
      <w:r w:rsidRPr="00803EC4">
        <w:rPr>
          <w:spacing w:val="-7"/>
        </w:rPr>
        <w:t xml:space="preserve"> </w:t>
      </w:r>
      <w:r w:rsidRPr="00803EC4">
        <w:rPr>
          <w:spacing w:val="-3"/>
        </w:rPr>
        <w:t>firmó</w:t>
      </w:r>
      <w:r w:rsidRPr="00803EC4">
        <w:rPr>
          <w:spacing w:val="-8"/>
        </w:rPr>
        <w:t xml:space="preserve"> </w:t>
      </w:r>
      <w:r w:rsidRPr="00803EC4">
        <w:t>el</w:t>
      </w:r>
      <w:r w:rsidRPr="00803EC4">
        <w:rPr>
          <w:spacing w:val="-4"/>
        </w:rPr>
        <w:t xml:space="preserve"> </w:t>
      </w:r>
      <w:r w:rsidRPr="00803EC4">
        <w:t>contrato</w:t>
      </w:r>
      <w:r w:rsidRPr="00803EC4">
        <w:rPr>
          <w:spacing w:val="-8"/>
        </w:rPr>
        <w:t xml:space="preserve"> </w:t>
      </w:r>
      <w:r w:rsidRPr="00803EC4">
        <w:t>de</w:t>
      </w:r>
      <w:r w:rsidRPr="00803EC4">
        <w:rPr>
          <w:spacing w:val="-7"/>
        </w:rPr>
        <w:t xml:space="preserve"> </w:t>
      </w:r>
      <w:r w:rsidRPr="00803EC4">
        <w:rPr>
          <w:spacing w:val="-3"/>
        </w:rPr>
        <w:t>préstamo</w:t>
      </w:r>
      <w:r w:rsidRPr="00803EC4">
        <w:rPr>
          <w:spacing w:val="-5"/>
        </w:rPr>
        <w:t xml:space="preserve"> </w:t>
      </w:r>
      <w:r w:rsidRPr="00803EC4">
        <w:rPr>
          <w:spacing w:val="-3"/>
        </w:rPr>
        <w:t>BIRF</w:t>
      </w:r>
      <w:r w:rsidRPr="00803EC4">
        <w:rPr>
          <w:spacing w:val="-7"/>
        </w:rPr>
        <w:t xml:space="preserve"> </w:t>
      </w:r>
      <w:r w:rsidRPr="00803EC4">
        <w:t xml:space="preserve">8682-PE </w:t>
      </w:r>
      <w:r w:rsidRPr="00803EC4">
        <w:rPr>
          <w:spacing w:val="-3"/>
        </w:rPr>
        <w:t xml:space="preserve">con </w:t>
      </w:r>
      <w:r w:rsidRPr="00803EC4">
        <w:t xml:space="preserve">el Banco </w:t>
      </w:r>
      <w:r w:rsidRPr="00803EC4">
        <w:rPr>
          <w:spacing w:val="-3"/>
        </w:rPr>
        <w:t xml:space="preserve">Internacional </w:t>
      </w:r>
      <w:r w:rsidRPr="00803EC4">
        <w:t xml:space="preserve">de Reconstrucción y Fomento </w:t>
      </w:r>
      <w:r w:rsidRPr="00803EC4">
        <w:rPr>
          <w:spacing w:val="-3"/>
        </w:rPr>
        <w:t xml:space="preserve">(BIRF) </w:t>
      </w:r>
      <w:r w:rsidRPr="00803EC4">
        <w:t xml:space="preserve">para la ejecución </w:t>
      </w:r>
      <w:r w:rsidRPr="00803EC4">
        <w:rPr>
          <w:spacing w:val="-3"/>
        </w:rPr>
        <w:t xml:space="preserve">del Proyecto </w:t>
      </w:r>
      <w:r w:rsidRPr="00803EC4">
        <w:rPr>
          <w:position w:val="1"/>
        </w:rPr>
        <w:t>Mejoramiento</w:t>
      </w:r>
      <w:r w:rsidRPr="00803EC4">
        <w:rPr>
          <w:spacing w:val="-9"/>
          <w:position w:val="1"/>
        </w:rPr>
        <w:t xml:space="preserve"> </w:t>
      </w:r>
      <w:r w:rsidRPr="00803EC4">
        <w:rPr>
          <w:position w:val="1"/>
        </w:rPr>
        <w:t>y</w:t>
      </w:r>
      <w:r w:rsidRPr="00803EC4">
        <w:rPr>
          <w:spacing w:val="-9"/>
          <w:position w:val="1"/>
        </w:rPr>
        <w:t xml:space="preserve"> </w:t>
      </w:r>
      <w:r w:rsidRPr="00803EC4">
        <w:rPr>
          <w:position w:val="1"/>
        </w:rPr>
        <w:t>Ampliación</w:t>
      </w:r>
      <w:r w:rsidRPr="00803EC4">
        <w:rPr>
          <w:spacing w:val="-9"/>
          <w:position w:val="1"/>
        </w:rPr>
        <w:t xml:space="preserve"> </w:t>
      </w:r>
      <w:r w:rsidRPr="00803EC4">
        <w:rPr>
          <w:position w:val="1"/>
        </w:rPr>
        <w:t>de</w:t>
      </w:r>
      <w:r w:rsidRPr="00803EC4">
        <w:rPr>
          <w:spacing w:val="-12"/>
          <w:position w:val="1"/>
        </w:rPr>
        <w:t xml:space="preserve"> </w:t>
      </w:r>
      <w:r w:rsidRPr="00803EC4">
        <w:rPr>
          <w:position w:val="1"/>
        </w:rPr>
        <w:t>los</w:t>
      </w:r>
      <w:r w:rsidRPr="00803EC4">
        <w:rPr>
          <w:spacing w:val="-9"/>
          <w:position w:val="1"/>
        </w:rPr>
        <w:t xml:space="preserve"> </w:t>
      </w:r>
      <w:r w:rsidRPr="00803EC4">
        <w:rPr>
          <w:position w:val="1"/>
        </w:rPr>
        <w:t>Servicios</w:t>
      </w:r>
      <w:r w:rsidRPr="00803EC4">
        <w:rPr>
          <w:spacing w:val="-9"/>
          <w:position w:val="1"/>
        </w:rPr>
        <w:t xml:space="preserve"> </w:t>
      </w:r>
      <w:r w:rsidRPr="00803EC4">
        <w:rPr>
          <w:position w:val="1"/>
        </w:rPr>
        <w:t>del</w:t>
      </w:r>
      <w:r w:rsidRPr="00803EC4">
        <w:rPr>
          <w:spacing w:val="-6"/>
          <w:position w:val="1"/>
        </w:rPr>
        <w:t xml:space="preserve"> </w:t>
      </w:r>
      <w:r w:rsidRPr="00803EC4">
        <w:rPr>
          <w:position w:val="1"/>
        </w:rPr>
        <w:t>SINACYT</w:t>
      </w:r>
      <w:r w:rsidRPr="00803EC4">
        <w:rPr>
          <w:spacing w:val="-9"/>
          <w:position w:val="1"/>
        </w:rPr>
        <w:t xml:space="preserve"> </w:t>
      </w:r>
      <w:r w:rsidRPr="00803EC4">
        <w:t>y</w:t>
      </w:r>
      <w:r w:rsidRPr="00803EC4">
        <w:rPr>
          <w:spacing w:val="-13"/>
        </w:rPr>
        <w:t xml:space="preserve"> </w:t>
      </w:r>
      <w:r w:rsidRPr="00803EC4">
        <w:t>se</w:t>
      </w:r>
      <w:r w:rsidRPr="00803EC4">
        <w:rPr>
          <w:spacing w:val="-12"/>
        </w:rPr>
        <w:t xml:space="preserve"> </w:t>
      </w:r>
      <w:r w:rsidRPr="00803EC4">
        <w:rPr>
          <w:spacing w:val="-3"/>
        </w:rPr>
        <w:t>propone</w:t>
      </w:r>
      <w:r w:rsidRPr="00803EC4">
        <w:rPr>
          <w:spacing w:val="-12"/>
        </w:rPr>
        <w:t xml:space="preserve"> </w:t>
      </w:r>
      <w:r w:rsidRPr="00803EC4">
        <w:rPr>
          <w:spacing w:val="-3"/>
        </w:rPr>
        <w:t>utilizar</w:t>
      </w:r>
      <w:r w:rsidRPr="00803EC4">
        <w:rPr>
          <w:spacing w:val="-12"/>
        </w:rPr>
        <w:t xml:space="preserve"> </w:t>
      </w:r>
      <w:r w:rsidRPr="00803EC4">
        <w:t>una</w:t>
      </w:r>
      <w:r w:rsidRPr="00803EC4">
        <w:rPr>
          <w:spacing w:val="-12"/>
        </w:rPr>
        <w:t xml:space="preserve"> </w:t>
      </w:r>
      <w:r w:rsidRPr="00803EC4">
        <w:rPr>
          <w:spacing w:val="-3"/>
        </w:rPr>
        <w:t>parte</w:t>
      </w:r>
      <w:r w:rsidRPr="00803EC4">
        <w:rPr>
          <w:spacing w:val="-12"/>
        </w:rPr>
        <w:t xml:space="preserve"> </w:t>
      </w:r>
      <w:r w:rsidRPr="00803EC4">
        <w:t>de</w:t>
      </w:r>
      <w:r w:rsidRPr="00803EC4">
        <w:rPr>
          <w:spacing w:val="-12"/>
        </w:rPr>
        <w:t xml:space="preserve"> </w:t>
      </w:r>
      <w:r w:rsidRPr="00803EC4">
        <w:t>los</w:t>
      </w:r>
      <w:r w:rsidRPr="00803EC4">
        <w:rPr>
          <w:spacing w:val="-13"/>
        </w:rPr>
        <w:t xml:space="preserve"> </w:t>
      </w:r>
      <w:r w:rsidRPr="00803EC4">
        <w:rPr>
          <w:spacing w:val="-3"/>
        </w:rPr>
        <w:t>fondos</w:t>
      </w:r>
      <w:r w:rsidRPr="00803EC4">
        <w:rPr>
          <w:spacing w:val="-13"/>
        </w:rPr>
        <w:t xml:space="preserve"> </w:t>
      </w:r>
      <w:r w:rsidRPr="00803EC4">
        <w:t xml:space="preserve">para </w:t>
      </w:r>
      <w:r w:rsidRPr="00803EC4">
        <w:rPr>
          <w:spacing w:val="-3"/>
        </w:rPr>
        <w:t xml:space="preserve">contratar </w:t>
      </w:r>
      <w:r w:rsidRPr="00803EC4">
        <w:t xml:space="preserve">el servicio de </w:t>
      </w:r>
      <w:r w:rsidRPr="00803EC4">
        <w:rPr>
          <w:spacing w:val="-3"/>
        </w:rPr>
        <w:t xml:space="preserve">consultoría </w:t>
      </w:r>
      <w:r w:rsidRPr="00803EC4">
        <w:t>individual: “</w:t>
      </w:r>
      <w:r w:rsidR="004304BF">
        <w:rPr>
          <w:position w:val="1"/>
        </w:rPr>
        <w:t>Especi</w:t>
      </w:r>
      <w:r w:rsidR="006572D0">
        <w:rPr>
          <w:position w:val="1"/>
        </w:rPr>
        <w:t>a</w:t>
      </w:r>
      <w:r w:rsidR="004304BF">
        <w:rPr>
          <w:position w:val="1"/>
        </w:rPr>
        <w:t xml:space="preserve">lista </w:t>
      </w:r>
      <w:r w:rsidR="006572D0">
        <w:rPr>
          <w:position w:val="1"/>
        </w:rPr>
        <w:t xml:space="preserve">en Adquisiciones </w:t>
      </w:r>
      <w:r w:rsidR="007B10F3" w:rsidRPr="00803EC4">
        <w:rPr>
          <w:position w:val="1"/>
        </w:rPr>
        <w:t>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7B10F3" w:rsidRPr="00803EC4" w:rsidRDefault="00901EF7">
      <w:pPr>
        <w:pStyle w:val="Textoindependiente"/>
        <w:ind w:left="112" w:right="480"/>
        <w:jc w:val="both"/>
      </w:pPr>
      <w:r w:rsidRPr="00803EC4">
        <w:t xml:space="preserve">Los servicios comprenden </w:t>
      </w:r>
      <w:r w:rsidR="007B10F3" w:rsidRPr="00803EC4">
        <w:t>acciones e</w:t>
      </w:r>
      <w:r w:rsidR="00A10206" w:rsidRPr="00803EC4">
        <w:t>n</w:t>
      </w:r>
      <w:r w:rsidR="007B10F3" w:rsidRPr="00803EC4">
        <w:t xml:space="preserve"> </w:t>
      </w:r>
      <w:r w:rsidR="006572D0" w:rsidRPr="00077606">
        <w:t>Conducir y ejecutar los procesos de adquisiciones de bienes, servicios de no consultoría y contratación de servicios de consultoría que se requieran de acuerdo con lo establecido en el Contrato de Préstamo, el Manual Operativo del Proyecto, el Plan de Adquisiciones y las Normas de Adquisiciones y Contrataciones del Banco Mundial, en el marco de la ejecución del Proyecto “Mejoramiento y ampliación del Sistema Nacional de Ciencia y tecnología e Innovación”</w:t>
      </w:r>
    </w:p>
    <w:p w:rsidR="00796C24" w:rsidRPr="00803EC4" w:rsidRDefault="00796C24">
      <w:pPr>
        <w:pStyle w:val="Textoindependiente"/>
        <w:spacing w:before="2"/>
      </w:pPr>
    </w:p>
    <w:p w:rsidR="00796C24" w:rsidRDefault="00CD4FE4" w:rsidP="00AB6EF4">
      <w:pPr>
        <w:pStyle w:val="Textoindependiente"/>
        <w:ind w:left="112" w:right="483"/>
        <w:jc w:val="both"/>
        <w:rPr>
          <w:position w:val="1"/>
        </w:rPr>
      </w:pPr>
      <w:r w:rsidRPr="00AB6EF4">
        <w:rPr>
          <w:position w:val="1"/>
        </w:rPr>
        <w:t xml:space="preserve">Se requiere contratar </w:t>
      </w:r>
      <w:r w:rsidR="00AB6EF4" w:rsidRPr="00AB6EF4">
        <w:rPr>
          <w:position w:val="1"/>
        </w:rPr>
        <w:t>un (</w:t>
      </w:r>
      <w:r w:rsidRPr="00AB6EF4">
        <w:rPr>
          <w:position w:val="1"/>
        </w:rPr>
        <w:t>0</w:t>
      </w:r>
      <w:r w:rsidR="00AB6EF4" w:rsidRPr="00AB6EF4">
        <w:rPr>
          <w:position w:val="1"/>
        </w:rPr>
        <w:t>1</w:t>
      </w:r>
      <w:r w:rsidRPr="00AB6EF4">
        <w:rPr>
          <w:position w:val="1"/>
        </w:rPr>
        <w:t>) consultor individual cuyo perfil es</w:t>
      </w:r>
      <w:r w:rsidR="00AB6EF4" w:rsidRPr="00AB6EF4">
        <w:rPr>
          <w:position w:val="1"/>
        </w:rPr>
        <w:t>,</w:t>
      </w:r>
      <w:r w:rsidRPr="00AB6EF4">
        <w:rPr>
          <w:position w:val="1"/>
        </w:rPr>
        <w:t xml:space="preserve"> Profesional con </w:t>
      </w:r>
      <w:r w:rsidR="007B10F3" w:rsidRPr="00AB6EF4">
        <w:rPr>
          <w:position w:val="1"/>
        </w:rPr>
        <w:t xml:space="preserve">Título </w:t>
      </w:r>
      <w:r w:rsidRPr="00AB6EF4">
        <w:rPr>
          <w:position w:val="1"/>
        </w:rPr>
        <w:t>Universitario</w:t>
      </w:r>
      <w:r w:rsidR="007B10F3" w:rsidRPr="00AB6EF4">
        <w:rPr>
          <w:position w:val="1"/>
        </w:rPr>
        <w:t xml:space="preserve"> </w:t>
      </w:r>
      <w:r w:rsidR="00A84976" w:rsidRPr="00AB6EF4">
        <w:rPr>
          <w:position w:val="1"/>
        </w:rPr>
        <w:t xml:space="preserve">en </w:t>
      </w:r>
      <w:r w:rsidR="00AB6EF4" w:rsidRPr="00AB6EF4">
        <w:rPr>
          <w:position w:val="1"/>
        </w:rPr>
        <w:t xml:space="preserve">Economía, Administración, Ingeniería o carreras afines, con cursos de especialización en temas vinculados a la gestión pública </w:t>
      </w:r>
      <w:r w:rsidRPr="00AB6EF4">
        <w:rPr>
          <w:position w:val="1"/>
        </w:rPr>
        <w:t xml:space="preserve">y </w:t>
      </w:r>
      <w:r w:rsidRPr="00803EC4">
        <w:rPr>
          <w:position w:val="1"/>
        </w:rPr>
        <w:t>experiencia</w:t>
      </w:r>
      <w:r w:rsidR="00901EF7" w:rsidRPr="00803EC4">
        <w:rPr>
          <w:position w:val="1"/>
        </w:rPr>
        <w:t xml:space="preserve"> laboral </w:t>
      </w:r>
      <w:r w:rsidR="007B10F3" w:rsidRPr="00803EC4">
        <w:rPr>
          <w:position w:val="1"/>
        </w:rPr>
        <w:t xml:space="preserve">mínima de </w:t>
      </w:r>
      <w:r w:rsidR="00AB6EF4" w:rsidRPr="00AB6EF4">
        <w:rPr>
          <w:position w:val="1"/>
        </w:rPr>
        <w:t>cinco (05) años en la realización de procesos de adquisiciones y contrataciones aplicando las Normas del BIRF y/o BID</w:t>
      </w:r>
      <w:r w:rsidR="00AB6EF4">
        <w:rPr>
          <w:position w:val="1"/>
        </w:rPr>
        <w:t xml:space="preserve">, </w:t>
      </w:r>
      <w:r w:rsidR="00AB6EF4" w:rsidRPr="00077606">
        <w:t>ocho (08) años en el sector público y/o privado</w:t>
      </w:r>
      <w:r w:rsidR="00AB6EF4">
        <w:t xml:space="preserve"> y </w:t>
      </w:r>
      <w:r w:rsidR="00AB6EF4" w:rsidRPr="00077606">
        <w:t>dos (02) años en adquisiciones y contrataciones vinculadas a proyectos de inversión en el sector público</w:t>
      </w:r>
      <w:r w:rsidR="00AB6EF4">
        <w:t>.</w:t>
      </w:r>
    </w:p>
    <w:p w:rsidR="00AB6EF4" w:rsidRDefault="00AB6EF4" w:rsidP="00AB6EF4">
      <w:pPr>
        <w:pStyle w:val="Textoindependiente"/>
        <w:ind w:left="112" w:right="483"/>
        <w:jc w:val="both"/>
        <w:rPr>
          <w:position w:val="1"/>
        </w:rPr>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Pr="00803EC4">
        <w:rPr>
          <w:spacing w:val="-3"/>
        </w:rPr>
        <w:t xml:space="preserve">documentado debidamente </w:t>
      </w:r>
      <w:r w:rsidRPr="00803EC4">
        <w:t>firmado</w:t>
      </w:r>
      <w:r w:rsidR="00AB6EF4">
        <w:t xml:space="preserve">, a la dirección de correo electrónico indicada líneas abajo, hasta las 17:00 horas del </w:t>
      </w:r>
      <w:r w:rsidR="00D84CE0">
        <w:t>mart</w:t>
      </w:r>
      <w:r w:rsidR="00AB6EF4">
        <w:t>es 2</w:t>
      </w:r>
      <w:r w:rsidR="00D84CE0">
        <w:t>6</w:t>
      </w:r>
      <w:bookmarkStart w:id="0" w:name="_GoBack"/>
      <w:bookmarkEnd w:id="0"/>
      <w:r w:rsidR="00AB6EF4">
        <w:t xml:space="preserve"> de febrero de 2019.</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796C24" w:rsidRPr="00803EC4" w:rsidRDefault="00901EF7" w:rsidP="000B79DE">
      <w:pPr>
        <w:spacing w:line="237" w:lineRule="auto"/>
        <w:ind w:left="112" w:right="480"/>
        <w:jc w:val="both"/>
        <w:rPr>
          <w:sz w:val="20"/>
          <w:szCs w:val="20"/>
        </w:rPr>
      </w:pPr>
      <w:r w:rsidRPr="00803EC4">
        <w:rPr>
          <w:sz w:val="20"/>
          <w:szCs w:val="20"/>
        </w:rPr>
        <w:t xml:space="preserve">Los consultores interesados deben prestar atención a la política de conflicto de interés, párrafo 1.9 de las Normas referidas, las cuales podrán ser consultadas en la página Web: </w:t>
      </w:r>
      <w:hyperlink r:id="rId6">
        <w:r w:rsidRPr="00803EC4">
          <w:rPr>
            <w:color w:val="0000FF"/>
            <w:sz w:val="20"/>
            <w:szCs w:val="20"/>
          </w:rPr>
          <w:t>http://pubdocs.worldbank.org/en/6911459454616485/Procurement-GuidelinesSpanishJuly12014.pdf</w:t>
        </w:r>
      </w:hyperlink>
    </w:p>
    <w:p w:rsidR="00796C24" w:rsidRPr="00803EC4" w:rsidRDefault="00796C24">
      <w:pPr>
        <w:pStyle w:val="Textoindependiente"/>
        <w:spacing w:before="5"/>
      </w:pPr>
    </w:p>
    <w:p w:rsidR="00796C24" w:rsidRPr="00061487" w:rsidRDefault="00901EF7">
      <w:pPr>
        <w:pStyle w:val="Textoindependiente"/>
        <w:spacing w:before="1"/>
        <w:ind w:left="112" w:right="485"/>
        <w:jc w:val="both"/>
      </w:pPr>
      <w:r w:rsidRPr="00061487">
        <w:t>Es importante indicar en el asunto del correo lo siguiente:” Expresión de interés servicio de</w:t>
      </w:r>
      <w:r w:rsidR="00AB6EF4">
        <w:t xml:space="preserve"> Consultoría Especialista en Adquisiciones</w:t>
      </w:r>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Pr="00061487" w:rsidRDefault="00901EF7">
      <w:pPr>
        <w:pStyle w:val="Textoindependiente"/>
        <w:spacing w:before="2"/>
        <w:ind w:left="112" w:right="3851"/>
      </w:pPr>
      <w:r w:rsidRPr="00061487">
        <w:t>Proyecto Mejoramiento y Ampliación de los Servicios del SINACYT Calle Schell 459 – Miraflores</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7" w:history="1">
        <w:r w:rsidR="00AB6EF4" w:rsidRPr="00986B76">
          <w:rPr>
            <w:rStyle w:val="Hipervnculo"/>
          </w:rPr>
          <w:t xml:space="preserve">bm-vcravero@fondecyt.gob.pe, </w:t>
        </w:r>
      </w:hyperlink>
      <w:r w:rsidRPr="00061487">
        <w:t xml:space="preserve">con copia a </w:t>
      </w:r>
      <w:hyperlink r:id="rId8" w:history="1">
        <w:r w:rsidR="00AB6EF4" w:rsidRPr="00986B76">
          <w:rPr>
            <w:rStyle w:val="Hipervnculo"/>
          </w:rPr>
          <w:t>bm-cmartinez@fondecyt.gob.pe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901EF7" w:rsidP="000B79DE">
      <w:pPr>
        <w:pStyle w:val="Textoindependiente"/>
        <w:ind w:left="4334" w:right="390"/>
        <w:jc w:val="right"/>
      </w:pPr>
      <w:r w:rsidRPr="00803EC4">
        <w:t xml:space="preserve">Miraflores, </w:t>
      </w:r>
      <w:r w:rsidR="00AB6EF4">
        <w:t>19</w:t>
      </w:r>
      <w:r w:rsidRPr="00803EC4">
        <w:t xml:space="preserve"> de </w:t>
      </w:r>
      <w:r w:rsidR="00AB6EF4">
        <w:t>febrer</w:t>
      </w:r>
      <w:r w:rsidR="007B10F3" w:rsidRPr="00803EC4">
        <w:t>o</w:t>
      </w:r>
      <w:r w:rsidRPr="00803EC4">
        <w:t xml:space="preserve"> de 2018.</w:t>
      </w:r>
    </w:p>
    <w:p w:rsidR="00796C24" w:rsidRPr="00803EC4" w:rsidRDefault="00796C24">
      <w:pPr>
        <w:jc w:val="right"/>
        <w:rPr>
          <w:sz w:val="20"/>
          <w:szCs w:val="20"/>
        </w:rPr>
        <w:sectPr w:rsidR="00796C24" w:rsidRPr="00803EC4" w:rsidSect="00FD3DC1">
          <w:type w:val="continuous"/>
          <w:pgSz w:w="11910" w:h="16840" w:code="9"/>
          <w:pgMar w:top="1582" w:right="1140" w:bottom="1134" w:left="1701" w:header="720" w:footer="720" w:gutter="0"/>
          <w:cols w:space="720"/>
          <w:docGrid w:linePitch="299"/>
        </w:sectPr>
      </w:pPr>
    </w:p>
    <w:p w:rsidR="00BE3352" w:rsidRPr="008C009F" w:rsidRDefault="00FD3DC1" w:rsidP="00BE3352">
      <w:pPr>
        <w:jc w:val="center"/>
        <w:rPr>
          <w:b/>
        </w:rPr>
      </w:pPr>
      <w:r w:rsidRPr="00803EC4">
        <w:rPr>
          <w:noProof/>
          <w:lang w:val="en-US" w:eastAsia="en-US" w:bidi="ar-SA"/>
        </w:rPr>
        <w:lastRenderedPageBreak/>
        <w:drawing>
          <wp:anchor distT="0" distB="0" distL="0" distR="0" simplePos="0" relativeHeight="268427407" behindDoc="1" locked="0" layoutInCell="1" allowOverlap="1" wp14:anchorId="4BD8B5FD" wp14:editId="53CA7C35">
            <wp:simplePos x="0" y="0"/>
            <wp:positionH relativeFrom="margin">
              <wp:posOffset>-92075</wp:posOffset>
            </wp:positionH>
            <wp:positionV relativeFrom="page">
              <wp:posOffset>-38100</wp:posOffset>
            </wp:positionV>
            <wp:extent cx="6210300" cy="107346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0300" cy="10734675"/>
                    </a:xfrm>
                    <a:prstGeom prst="rect">
                      <a:avLst/>
                    </a:prstGeom>
                  </pic:spPr>
                </pic:pic>
              </a:graphicData>
            </a:graphic>
            <wp14:sizeRelH relativeFrom="margin">
              <wp14:pctWidth>0</wp14:pctWidth>
            </wp14:sizeRelH>
            <wp14:sizeRelV relativeFrom="margin">
              <wp14:pctHeight>0</wp14:pctHeight>
            </wp14:sizeRelV>
          </wp:anchor>
        </w:drawing>
      </w:r>
      <w:r w:rsidR="00BE3352" w:rsidRPr="008C009F">
        <w:rPr>
          <w:b/>
        </w:rPr>
        <w:t>TÉRMINOS DE REFERENCIA</w:t>
      </w:r>
    </w:p>
    <w:p w:rsidR="00BE3352" w:rsidRPr="008C009F" w:rsidRDefault="00BE3352" w:rsidP="00BE3352">
      <w:pPr>
        <w:jc w:val="center"/>
        <w:rPr>
          <w:b/>
        </w:rPr>
      </w:pPr>
      <w:r w:rsidRPr="008C009F">
        <w:rPr>
          <w:b/>
        </w:rPr>
        <w:t xml:space="preserve">Especialista </w:t>
      </w:r>
      <w:r>
        <w:rPr>
          <w:b/>
        </w:rPr>
        <w:t>en Adquisiciones</w:t>
      </w:r>
    </w:p>
    <w:p w:rsidR="00BE3352" w:rsidRDefault="00BE3352" w:rsidP="00BE3352"/>
    <w:tbl>
      <w:tblPr>
        <w:tblStyle w:val="Tablaconcuadrcula"/>
        <w:tblW w:w="0" w:type="auto"/>
        <w:tblLook w:val="04A0" w:firstRow="1" w:lastRow="0" w:firstColumn="1" w:lastColumn="0" w:noHBand="0" w:noVBand="1"/>
      </w:tblPr>
      <w:tblGrid>
        <w:gridCol w:w="9396"/>
      </w:tblGrid>
      <w:tr w:rsidR="00BE3352" w:rsidRPr="00F06D26" w:rsidTr="009815BC">
        <w:trPr>
          <w:trHeight w:val="154"/>
        </w:trPr>
        <w:tc>
          <w:tcPr>
            <w:tcW w:w="9060" w:type="dxa"/>
            <w:vAlign w:val="center"/>
          </w:tcPr>
          <w:p w:rsidR="00BE3352" w:rsidRPr="00F06D26" w:rsidRDefault="00BE3352" w:rsidP="00BE3352">
            <w:pPr>
              <w:pStyle w:val="Prrafodelista"/>
              <w:numPr>
                <w:ilvl w:val="0"/>
                <w:numId w:val="6"/>
              </w:numPr>
              <w:ind w:left="316" w:hanging="284"/>
              <w:contextualSpacing/>
              <w:rPr>
                <w:sz w:val="20"/>
                <w:szCs w:val="20"/>
              </w:rPr>
            </w:pPr>
            <w:r w:rsidRPr="00F06D26">
              <w:rPr>
                <w:b/>
                <w:sz w:val="20"/>
                <w:szCs w:val="20"/>
              </w:rPr>
              <w:t>ANTECEDENTES</w:t>
            </w:r>
          </w:p>
        </w:tc>
      </w:tr>
      <w:tr w:rsidR="00BE3352" w:rsidRPr="00F06D26" w:rsidTr="009815BC">
        <w:tc>
          <w:tcPr>
            <w:tcW w:w="9060" w:type="dxa"/>
          </w:tcPr>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El 08 de febrero del 2017 el Gobierno de la República del Perú firmó el Acuerdo de Préstamo </w:t>
            </w:r>
            <w:proofErr w:type="spellStart"/>
            <w:r w:rsidRPr="00F06D26">
              <w:rPr>
                <w:sz w:val="20"/>
                <w:szCs w:val="20"/>
              </w:rPr>
              <w:t>Nº</w:t>
            </w:r>
            <w:proofErr w:type="spellEnd"/>
            <w:r>
              <w:rPr>
                <w:sz w:val="20"/>
                <w:szCs w:val="20"/>
              </w:rPr>
              <w:t xml:space="preserve"> </w:t>
            </w:r>
            <w:r w:rsidRPr="00F06D26">
              <w:rPr>
                <w:sz w:val="20"/>
                <w:szCs w:val="20"/>
              </w:rPr>
              <w:t>8682-PE con el Banco Mundial para financiar el Proyecto: Mejoramiento y ampliación de los servicios del Sistema Nacional de Ciencia, Tecnología e innovación Tecnológica (SINACYT).</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El objetivo del Proyecto es mejorar el desempeño del SINACYT, con la finalidad de contribuir a la diversificación económica y competitiva del Perú, ello ayudará a reducir la vulnerabilidad del aparato productivo y finalmente lograr un desarrollo sostenible basado en el conocimiento. El Proyecto tiene un costo total de cien millones de dólares americanos ($100, 000,000.00) y un periodo de ejecución de cuatro (4) años.  </w:t>
            </w:r>
          </w:p>
          <w:p w:rsidR="00BE3352" w:rsidRPr="008C009F" w:rsidRDefault="00BE3352" w:rsidP="009815BC">
            <w:pPr>
              <w:jc w:val="both"/>
              <w:rPr>
                <w:sz w:val="12"/>
                <w:szCs w:val="20"/>
              </w:rPr>
            </w:pPr>
          </w:p>
          <w:p w:rsidR="00BE3352" w:rsidRPr="00F06D26" w:rsidRDefault="00BE3352" w:rsidP="009815BC">
            <w:pPr>
              <w:rPr>
                <w:sz w:val="20"/>
                <w:szCs w:val="20"/>
              </w:rPr>
            </w:pPr>
            <w:r w:rsidRPr="00F06D26">
              <w:rPr>
                <w:sz w:val="20"/>
                <w:szCs w:val="20"/>
              </w:rPr>
              <w:t>Consta de los siguientes componentes:</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Componente 1: Mejoramiento de la institucionalidad y gobernanza del SINACYT. ($ 10 571 581,00)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Componente 2: Identificación de Prioridades, asignación de recursos y fortalecimiento de capacidades de los actores del SINACYT. ($ 11 514 510,00) El objetivo de este componente es lograr el desarrollo de nuevos y mejorados productos o servicios intensivos en conocimiento, con altas probabilidades de inserción en el mercado global. </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Componente 3: Desarrollar el SINACYT a través de becas, financiamiento de equipos y proyectos de I+D+i. ($ 73 676 818,00). El objetivo de este componente es desarrollar el SINACYT facilitando los recursos necesarios para llevar a cabo investigación aplicada. </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Componente 4: Gestión de Proyecto ($ 4 237 091,00),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BE3352" w:rsidRPr="008C009F" w:rsidRDefault="00BE3352" w:rsidP="009815BC">
            <w:pPr>
              <w:rPr>
                <w:sz w:val="12"/>
                <w:szCs w:val="20"/>
              </w:rPr>
            </w:pPr>
          </w:p>
        </w:tc>
      </w:tr>
      <w:tr w:rsidR="00BE3352" w:rsidRPr="00F06D26" w:rsidTr="009815BC">
        <w:trPr>
          <w:trHeight w:val="213"/>
        </w:trPr>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t>OBJETIVO(S) DE LA CONSULTORIA</w:t>
            </w:r>
          </w:p>
        </w:tc>
      </w:tr>
      <w:tr w:rsidR="00BE3352" w:rsidRPr="00F06D26" w:rsidTr="009815BC">
        <w:tc>
          <w:tcPr>
            <w:tcW w:w="9060" w:type="dxa"/>
          </w:tcPr>
          <w:p w:rsidR="00BE3352" w:rsidRPr="008C009F" w:rsidRDefault="00BE3352" w:rsidP="009815BC">
            <w:pPr>
              <w:jc w:val="both"/>
              <w:rPr>
                <w:sz w:val="12"/>
                <w:szCs w:val="20"/>
              </w:rPr>
            </w:pPr>
          </w:p>
          <w:p w:rsidR="00BE3352" w:rsidRDefault="00BE3352" w:rsidP="009815BC">
            <w:pPr>
              <w:jc w:val="both"/>
              <w:rPr>
                <w:sz w:val="20"/>
                <w:szCs w:val="20"/>
              </w:rPr>
            </w:pPr>
            <w:r w:rsidRPr="00077606">
              <w:rPr>
                <w:sz w:val="20"/>
                <w:szCs w:val="20"/>
              </w:rPr>
              <w:t xml:space="preserve">Conducir y ejecutar los procesos de adquisiciones de bienes, servicios de no consultoría y contratación de servicios de consultoría que se requieran de acuerdo con lo establecido en el Contrato de Préstamo, el Manual Operativo del Proyecto, el Plan de Adquisiciones y las Normas de Adquisiciones y Contrataciones del Banco Mundial, en el marco de la ejecución del Proyecto “Mejoramiento y ampliación del Sistema Nacional de Ciencia y tecnología e Innovación”. </w:t>
            </w:r>
          </w:p>
          <w:p w:rsidR="00BE3352" w:rsidRPr="008C009F" w:rsidRDefault="00BE3352" w:rsidP="009815BC">
            <w:pPr>
              <w:jc w:val="both"/>
              <w:rPr>
                <w:sz w:val="12"/>
                <w:szCs w:val="20"/>
              </w:rPr>
            </w:pPr>
          </w:p>
        </w:tc>
      </w:tr>
      <w:tr w:rsidR="00BE3352" w:rsidRPr="00F06D26" w:rsidTr="009815BC">
        <w:trPr>
          <w:trHeight w:val="161"/>
        </w:trPr>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t>PERFIL PROFESIONAL MINIMO:</w:t>
            </w:r>
          </w:p>
        </w:tc>
      </w:tr>
      <w:tr w:rsidR="00BE3352" w:rsidRPr="00F06D26" w:rsidTr="009815BC">
        <w:tc>
          <w:tcPr>
            <w:tcW w:w="9060" w:type="dxa"/>
          </w:tcPr>
          <w:p w:rsidR="00BE3352" w:rsidRPr="008C009F" w:rsidRDefault="00BE3352" w:rsidP="009815BC">
            <w:pPr>
              <w:pStyle w:val="Prrafodelista"/>
              <w:ind w:left="457"/>
              <w:jc w:val="both"/>
              <w:rPr>
                <w:sz w:val="12"/>
                <w:szCs w:val="20"/>
              </w:rPr>
            </w:pPr>
          </w:p>
          <w:p w:rsidR="00BE3352" w:rsidRPr="00077606" w:rsidRDefault="00BE3352" w:rsidP="00BE3352">
            <w:pPr>
              <w:pStyle w:val="Prrafodelista"/>
              <w:numPr>
                <w:ilvl w:val="0"/>
                <w:numId w:val="5"/>
              </w:numPr>
              <w:contextualSpacing/>
              <w:jc w:val="both"/>
              <w:rPr>
                <w:sz w:val="20"/>
                <w:szCs w:val="20"/>
              </w:rPr>
            </w:pPr>
            <w:r w:rsidRPr="00077606">
              <w:rPr>
                <w:sz w:val="20"/>
                <w:szCs w:val="20"/>
              </w:rPr>
              <w:t>Profesional en Economía, Administración, Ingeniería o carreras afines, con cursos de especialización en temas vinculados a la gestión pública.</w:t>
            </w:r>
          </w:p>
          <w:p w:rsidR="00BE3352" w:rsidRPr="00077606" w:rsidRDefault="00BE3352" w:rsidP="00BE3352">
            <w:pPr>
              <w:pStyle w:val="Prrafodelista"/>
              <w:numPr>
                <w:ilvl w:val="0"/>
                <w:numId w:val="5"/>
              </w:numPr>
              <w:contextualSpacing/>
              <w:jc w:val="both"/>
              <w:rPr>
                <w:sz w:val="20"/>
                <w:szCs w:val="20"/>
              </w:rPr>
            </w:pPr>
            <w:r w:rsidRPr="00077606">
              <w:rPr>
                <w:sz w:val="20"/>
                <w:szCs w:val="20"/>
              </w:rPr>
              <w:t>Con cinco (05) años de experiencia en la realización de procesos de adquisiciones y contrataciones aplicando las Normas del BIRF y/o BID.</w:t>
            </w:r>
          </w:p>
          <w:p w:rsidR="00BE3352" w:rsidRPr="00077606" w:rsidRDefault="00BE3352" w:rsidP="00BE3352">
            <w:pPr>
              <w:pStyle w:val="Prrafodelista"/>
              <w:numPr>
                <w:ilvl w:val="0"/>
                <w:numId w:val="5"/>
              </w:numPr>
              <w:contextualSpacing/>
              <w:jc w:val="both"/>
              <w:rPr>
                <w:sz w:val="20"/>
                <w:szCs w:val="20"/>
              </w:rPr>
            </w:pPr>
            <w:r w:rsidRPr="00077606">
              <w:rPr>
                <w:sz w:val="20"/>
                <w:szCs w:val="20"/>
              </w:rPr>
              <w:t>Experiencia laboral general de ocho (08) años en el sector público y/o privado</w:t>
            </w:r>
          </w:p>
          <w:p w:rsidR="00BE3352" w:rsidRPr="00077606" w:rsidRDefault="00BE3352" w:rsidP="00BE3352">
            <w:pPr>
              <w:pStyle w:val="Prrafodelista"/>
              <w:numPr>
                <w:ilvl w:val="0"/>
                <w:numId w:val="5"/>
              </w:numPr>
              <w:contextualSpacing/>
              <w:jc w:val="both"/>
              <w:rPr>
                <w:sz w:val="20"/>
                <w:szCs w:val="20"/>
              </w:rPr>
            </w:pPr>
            <w:r w:rsidRPr="00077606">
              <w:rPr>
                <w:sz w:val="20"/>
                <w:szCs w:val="20"/>
              </w:rPr>
              <w:t>Experiencia de dos (02) años en adquisiciones y contrataciones vinculadas a proyectos de inversión en el sector público.</w:t>
            </w:r>
          </w:p>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El cumplimiento del perfil mínimo habilita al aspirante para realizar la consultoría, el puntaje asignado en los criterios de selección permite a la entidad, escoger entre los candidatos hábiles al mejor.</w:t>
            </w:r>
          </w:p>
          <w:p w:rsidR="00BE3352" w:rsidRPr="008C009F" w:rsidRDefault="00BE3352" w:rsidP="009815BC">
            <w:pPr>
              <w:rPr>
                <w:sz w:val="12"/>
                <w:szCs w:val="20"/>
              </w:rPr>
            </w:pPr>
          </w:p>
          <w:p w:rsidR="00BE3352" w:rsidRPr="00F06D26" w:rsidRDefault="00BE3352" w:rsidP="009815BC">
            <w:pPr>
              <w:jc w:val="both"/>
              <w:rPr>
                <w:sz w:val="20"/>
                <w:szCs w:val="20"/>
              </w:rPr>
            </w:pPr>
            <w:r w:rsidRPr="00F06D26">
              <w:rPr>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rsidR="00BE3352" w:rsidRPr="008C009F" w:rsidRDefault="00FD3DC1" w:rsidP="009815BC">
            <w:pPr>
              <w:rPr>
                <w:sz w:val="12"/>
                <w:szCs w:val="20"/>
              </w:rPr>
            </w:pPr>
            <w:r w:rsidRPr="00803EC4">
              <w:rPr>
                <w:noProof/>
                <w:lang w:val="en-US" w:eastAsia="en-US" w:bidi="ar-SA"/>
              </w:rPr>
              <w:lastRenderedPageBreak/>
              <w:drawing>
                <wp:anchor distT="0" distB="0" distL="0" distR="0" simplePos="0" relativeHeight="268429455" behindDoc="1" locked="0" layoutInCell="1" allowOverlap="1" wp14:anchorId="3F62B21F" wp14:editId="485834CA">
                  <wp:simplePos x="0" y="0"/>
                  <wp:positionH relativeFrom="page">
                    <wp:posOffset>-79375</wp:posOffset>
                  </wp:positionH>
                  <wp:positionV relativeFrom="page">
                    <wp:posOffset>-1460500</wp:posOffset>
                  </wp:positionV>
                  <wp:extent cx="6096000" cy="1059180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0591800"/>
                          </a:xfrm>
                          <a:prstGeom prst="rect">
                            <a:avLst/>
                          </a:prstGeom>
                        </pic:spPr>
                      </pic:pic>
                    </a:graphicData>
                  </a:graphic>
                  <wp14:sizeRelH relativeFrom="margin">
                    <wp14:pctWidth>0</wp14:pctWidth>
                  </wp14:sizeRelH>
                  <wp14:sizeRelV relativeFrom="margin">
                    <wp14:pctHeight>0</wp14:pctHeight>
                  </wp14:sizeRelV>
                </wp:anchor>
              </w:drawing>
            </w:r>
          </w:p>
          <w:p w:rsidR="00FD3DC1" w:rsidRDefault="00FD3DC1" w:rsidP="009815BC">
            <w:pPr>
              <w:jc w:val="both"/>
              <w:rPr>
                <w:sz w:val="20"/>
                <w:szCs w:val="20"/>
              </w:rPr>
            </w:pPr>
          </w:p>
          <w:p w:rsidR="00BE3352" w:rsidRDefault="00BE3352" w:rsidP="009815BC">
            <w:pPr>
              <w:jc w:val="both"/>
              <w:rPr>
                <w:sz w:val="20"/>
                <w:szCs w:val="20"/>
              </w:rPr>
            </w:pPr>
            <w:r w:rsidRPr="00F06D26">
              <w:rPr>
                <w:sz w:val="20"/>
                <w:szCs w:val="20"/>
              </w:rPr>
              <w:t>Las certificaciones podrán ser solicitadas al candidato elegido de forma previa a la elaboración del contrato. En caso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rsidR="00BE3352" w:rsidRPr="008C009F" w:rsidRDefault="00BE3352" w:rsidP="009815BC">
            <w:pPr>
              <w:jc w:val="both"/>
              <w:rPr>
                <w:sz w:val="12"/>
                <w:szCs w:val="20"/>
              </w:rPr>
            </w:pPr>
          </w:p>
        </w:tc>
      </w:tr>
      <w:tr w:rsidR="00BE3352" w:rsidRPr="00F06D26" w:rsidTr="009815BC">
        <w:trPr>
          <w:trHeight w:val="268"/>
        </w:trPr>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lastRenderedPageBreak/>
              <w:t>CRITERIOS DE SELECCIÓN</w:t>
            </w:r>
          </w:p>
        </w:tc>
      </w:tr>
      <w:tr w:rsidR="00BE3352" w:rsidRPr="00F06D26" w:rsidTr="009815BC">
        <w:trPr>
          <w:trHeight w:val="5685"/>
        </w:trPr>
        <w:tc>
          <w:tcPr>
            <w:tcW w:w="9060" w:type="dxa"/>
          </w:tcPr>
          <w:p w:rsidR="00BE3352" w:rsidRPr="008C009F" w:rsidRDefault="00BE3352" w:rsidP="009815BC">
            <w:pPr>
              <w:jc w:val="both"/>
              <w:rPr>
                <w:sz w:val="12"/>
                <w:szCs w:val="20"/>
              </w:rPr>
            </w:pPr>
          </w:p>
          <w:p w:rsidR="00BE3352" w:rsidRPr="00F06D26" w:rsidRDefault="00BE3352" w:rsidP="009815BC">
            <w:pPr>
              <w:jc w:val="both"/>
              <w:rPr>
                <w:sz w:val="20"/>
                <w:szCs w:val="20"/>
              </w:rPr>
            </w:pPr>
            <w:r w:rsidRPr="00F06D26">
              <w:rPr>
                <w:sz w:val="20"/>
                <w:szCs w:val="20"/>
              </w:rPr>
              <w:t xml:space="preserve">Con los candidatos que cumplan el PERFIL MÍNIMO REQUERIDO, se realizará la comparación y evaluación de las hojas de vidas, de acuerdo con los siguientes criterios de selección:   </w:t>
            </w:r>
          </w:p>
          <w:p w:rsidR="00BE3352" w:rsidRDefault="00BE3352" w:rsidP="009815BC">
            <w:pPr>
              <w:rPr>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1927"/>
              <w:gridCol w:w="1092"/>
              <w:gridCol w:w="1134"/>
            </w:tblGrid>
            <w:tr w:rsidR="00BE3352" w:rsidRPr="00F23097" w:rsidTr="009815BC">
              <w:trPr>
                <w:trHeight w:val="525"/>
                <w:jc w:val="center"/>
              </w:trPr>
              <w:tc>
                <w:tcPr>
                  <w:tcW w:w="4378" w:type="dxa"/>
                  <w:shd w:val="clear" w:color="auto" w:fill="auto"/>
                  <w:vAlign w:val="center"/>
                  <w:hideMark/>
                </w:tcPr>
                <w:p w:rsidR="00BE3352" w:rsidRPr="00F23097" w:rsidRDefault="00BE3352" w:rsidP="009815BC">
                  <w:pPr>
                    <w:rPr>
                      <w:b/>
                      <w:sz w:val="20"/>
                    </w:rPr>
                  </w:pPr>
                  <w:r w:rsidRPr="00F23097">
                    <w:rPr>
                      <w:b/>
                      <w:sz w:val="20"/>
                    </w:rPr>
                    <w:t>Criterios de Selección</w:t>
                  </w:r>
                </w:p>
              </w:tc>
              <w:tc>
                <w:tcPr>
                  <w:tcW w:w="1927" w:type="dxa"/>
                  <w:shd w:val="clear" w:color="auto" w:fill="auto"/>
                  <w:vAlign w:val="center"/>
                  <w:hideMark/>
                </w:tcPr>
                <w:p w:rsidR="00BE3352" w:rsidRPr="00F23097" w:rsidRDefault="00BE3352" w:rsidP="009815BC">
                  <w:pPr>
                    <w:rPr>
                      <w:b/>
                      <w:sz w:val="20"/>
                    </w:rPr>
                  </w:pPr>
                  <w:r w:rsidRPr="00F23097">
                    <w:rPr>
                      <w:b/>
                      <w:sz w:val="20"/>
                    </w:rPr>
                    <w:t>Rango</w:t>
                  </w:r>
                </w:p>
              </w:tc>
              <w:tc>
                <w:tcPr>
                  <w:tcW w:w="1092" w:type="dxa"/>
                  <w:shd w:val="clear" w:color="auto" w:fill="auto"/>
                  <w:vAlign w:val="center"/>
                  <w:hideMark/>
                </w:tcPr>
                <w:p w:rsidR="00BE3352" w:rsidRPr="00F23097" w:rsidRDefault="00BE3352" w:rsidP="009815BC">
                  <w:pPr>
                    <w:rPr>
                      <w:b/>
                      <w:sz w:val="20"/>
                    </w:rPr>
                  </w:pPr>
                  <w:r w:rsidRPr="00F23097">
                    <w:rPr>
                      <w:b/>
                      <w:sz w:val="20"/>
                    </w:rPr>
                    <w:t>Puntaje Máximo</w:t>
                  </w:r>
                </w:p>
              </w:tc>
              <w:tc>
                <w:tcPr>
                  <w:tcW w:w="1134" w:type="dxa"/>
                  <w:shd w:val="clear" w:color="auto" w:fill="auto"/>
                  <w:vAlign w:val="center"/>
                  <w:hideMark/>
                </w:tcPr>
                <w:p w:rsidR="00BE3352" w:rsidRPr="00F23097" w:rsidRDefault="00BE3352" w:rsidP="009815BC">
                  <w:pPr>
                    <w:rPr>
                      <w:b/>
                      <w:sz w:val="20"/>
                    </w:rPr>
                  </w:pPr>
                  <w:r w:rsidRPr="00F23097">
                    <w:rPr>
                      <w:b/>
                      <w:sz w:val="20"/>
                    </w:rPr>
                    <w:t>Puntaje total</w:t>
                  </w:r>
                </w:p>
              </w:tc>
            </w:tr>
            <w:tr w:rsidR="00BE3352" w:rsidRPr="00F23097" w:rsidTr="009815BC">
              <w:trPr>
                <w:trHeight w:val="685"/>
                <w:jc w:val="center"/>
              </w:trPr>
              <w:tc>
                <w:tcPr>
                  <w:tcW w:w="4378" w:type="dxa"/>
                  <w:vMerge w:val="restart"/>
                  <w:shd w:val="clear" w:color="auto" w:fill="auto"/>
                </w:tcPr>
                <w:p w:rsidR="00BE3352" w:rsidRPr="00F23097" w:rsidRDefault="00BE3352" w:rsidP="00BE3352">
                  <w:pPr>
                    <w:pStyle w:val="Prrafodelista"/>
                    <w:widowControl/>
                    <w:numPr>
                      <w:ilvl w:val="0"/>
                      <w:numId w:val="7"/>
                    </w:numPr>
                    <w:autoSpaceDE/>
                    <w:autoSpaceDN/>
                    <w:spacing w:line="259" w:lineRule="auto"/>
                    <w:ind w:left="204" w:hanging="204"/>
                    <w:contextualSpacing/>
                    <w:jc w:val="both"/>
                    <w:rPr>
                      <w:sz w:val="20"/>
                    </w:rPr>
                  </w:pPr>
                  <w:r w:rsidRPr="00F23097">
                    <w:rPr>
                      <w:sz w:val="20"/>
                    </w:rPr>
                    <w:t>Experiencia en la realización de procesos de adquisiciones y contrataciones aplicando las Normas del BIRF y/o BID (se califica la experiencia adicional a la mínima requerida en el perfil profesional).</w:t>
                  </w:r>
                </w:p>
              </w:tc>
              <w:tc>
                <w:tcPr>
                  <w:tcW w:w="1927" w:type="dxa"/>
                  <w:shd w:val="clear" w:color="auto" w:fill="auto"/>
                </w:tcPr>
                <w:p w:rsidR="00BE3352" w:rsidRPr="00F23097" w:rsidRDefault="00BE3352" w:rsidP="009815BC">
                  <w:pPr>
                    <w:rPr>
                      <w:sz w:val="20"/>
                    </w:rPr>
                  </w:pPr>
                  <w:r w:rsidRPr="00F23097">
                    <w:rPr>
                      <w:sz w:val="20"/>
                    </w:rPr>
                    <w:t>Más de cinco años y hasta 7 años</w:t>
                  </w:r>
                </w:p>
              </w:tc>
              <w:tc>
                <w:tcPr>
                  <w:tcW w:w="1092" w:type="dxa"/>
                  <w:shd w:val="clear" w:color="auto" w:fill="auto"/>
                </w:tcPr>
                <w:p w:rsidR="00BE3352" w:rsidRPr="00F23097" w:rsidRDefault="00BE3352" w:rsidP="009815BC">
                  <w:pPr>
                    <w:rPr>
                      <w:sz w:val="20"/>
                    </w:rPr>
                  </w:pPr>
                  <w:r w:rsidRPr="00F23097">
                    <w:rPr>
                      <w:sz w:val="20"/>
                    </w:rPr>
                    <w:t>20</w:t>
                  </w:r>
                </w:p>
              </w:tc>
              <w:tc>
                <w:tcPr>
                  <w:tcW w:w="1134" w:type="dxa"/>
                  <w:vMerge w:val="restart"/>
                  <w:shd w:val="clear" w:color="auto" w:fill="auto"/>
                  <w:noWrap/>
                </w:tcPr>
                <w:p w:rsidR="00BE3352" w:rsidRPr="00F23097" w:rsidRDefault="00BE3352" w:rsidP="009815BC">
                  <w:pPr>
                    <w:rPr>
                      <w:sz w:val="20"/>
                    </w:rPr>
                  </w:pPr>
                  <w:r w:rsidRPr="00F23097">
                    <w:rPr>
                      <w:sz w:val="20"/>
                    </w:rPr>
                    <w:t>40</w:t>
                  </w:r>
                </w:p>
              </w:tc>
            </w:tr>
            <w:tr w:rsidR="00BE3352" w:rsidRPr="00F23097" w:rsidTr="009815BC">
              <w:trPr>
                <w:trHeight w:val="710"/>
                <w:jc w:val="center"/>
              </w:trPr>
              <w:tc>
                <w:tcPr>
                  <w:tcW w:w="4378" w:type="dxa"/>
                  <w:vMerge/>
                  <w:shd w:val="clear" w:color="auto" w:fill="auto"/>
                </w:tcPr>
                <w:p w:rsidR="00BE3352" w:rsidRPr="00F23097" w:rsidRDefault="00BE3352" w:rsidP="00BE3352">
                  <w:pPr>
                    <w:pStyle w:val="Prrafodelista"/>
                    <w:widowControl/>
                    <w:numPr>
                      <w:ilvl w:val="0"/>
                      <w:numId w:val="7"/>
                    </w:numPr>
                    <w:autoSpaceDE/>
                    <w:autoSpaceDN/>
                    <w:spacing w:line="259" w:lineRule="auto"/>
                    <w:ind w:left="204" w:hanging="204"/>
                    <w:contextualSpacing/>
                    <w:jc w:val="both"/>
                    <w:rPr>
                      <w:sz w:val="20"/>
                    </w:rPr>
                  </w:pPr>
                </w:p>
              </w:tc>
              <w:tc>
                <w:tcPr>
                  <w:tcW w:w="1927" w:type="dxa"/>
                  <w:shd w:val="clear" w:color="auto" w:fill="auto"/>
                </w:tcPr>
                <w:p w:rsidR="00BE3352" w:rsidRPr="00F23097" w:rsidRDefault="00BE3352" w:rsidP="009815BC">
                  <w:pPr>
                    <w:rPr>
                      <w:sz w:val="20"/>
                    </w:rPr>
                  </w:pPr>
                  <w:r w:rsidRPr="00F23097">
                    <w:rPr>
                      <w:sz w:val="20"/>
                    </w:rPr>
                    <w:t>Más de 7 años</w:t>
                  </w:r>
                </w:p>
              </w:tc>
              <w:tc>
                <w:tcPr>
                  <w:tcW w:w="1092" w:type="dxa"/>
                  <w:shd w:val="clear" w:color="auto" w:fill="auto"/>
                </w:tcPr>
                <w:p w:rsidR="00BE3352" w:rsidRPr="00F23097" w:rsidRDefault="00BE3352" w:rsidP="009815BC">
                  <w:pPr>
                    <w:rPr>
                      <w:sz w:val="20"/>
                    </w:rPr>
                  </w:pPr>
                  <w:r w:rsidRPr="00F23097">
                    <w:rPr>
                      <w:sz w:val="20"/>
                    </w:rPr>
                    <w:t>40</w:t>
                  </w:r>
                </w:p>
              </w:tc>
              <w:tc>
                <w:tcPr>
                  <w:tcW w:w="1134" w:type="dxa"/>
                  <w:vMerge/>
                  <w:shd w:val="clear" w:color="auto" w:fill="auto"/>
                  <w:noWrap/>
                </w:tcPr>
                <w:p w:rsidR="00BE3352" w:rsidRPr="00F23097" w:rsidRDefault="00BE3352" w:rsidP="009815BC">
                  <w:pPr>
                    <w:rPr>
                      <w:sz w:val="20"/>
                    </w:rPr>
                  </w:pPr>
                </w:p>
              </w:tc>
            </w:tr>
            <w:tr w:rsidR="00BE3352" w:rsidRPr="00F23097" w:rsidTr="009815BC">
              <w:trPr>
                <w:trHeight w:val="576"/>
                <w:jc w:val="center"/>
              </w:trPr>
              <w:tc>
                <w:tcPr>
                  <w:tcW w:w="4378" w:type="dxa"/>
                  <w:vMerge w:val="restart"/>
                  <w:shd w:val="clear" w:color="auto" w:fill="auto"/>
                  <w:hideMark/>
                </w:tcPr>
                <w:p w:rsidR="00BE3352" w:rsidRPr="00F23097" w:rsidRDefault="00BE3352" w:rsidP="00BE3352">
                  <w:pPr>
                    <w:pStyle w:val="Prrafodelista"/>
                    <w:widowControl/>
                    <w:numPr>
                      <w:ilvl w:val="0"/>
                      <w:numId w:val="7"/>
                    </w:numPr>
                    <w:autoSpaceDE/>
                    <w:autoSpaceDN/>
                    <w:spacing w:line="259" w:lineRule="auto"/>
                    <w:ind w:left="204" w:hanging="204"/>
                    <w:contextualSpacing/>
                    <w:jc w:val="both"/>
                    <w:rPr>
                      <w:sz w:val="20"/>
                    </w:rPr>
                  </w:pPr>
                  <w:r w:rsidRPr="00F23097">
                    <w:rPr>
                      <w:sz w:val="20"/>
                    </w:rPr>
                    <w:t>Experiencia en adquisiciones y contrataciones vinculadas a proyectos de inversión en el sector público (se califica la experiencia adicional a la mínima requerida en el perfil profesional).</w:t>
                  </w:r>
                </w:p>
              </w:tc>
              <w:tc>
                <w:tcPr>
                  <w:tcW w:w="1927" w:type="dxa"/>
                  <w:shd w:val="clear" w:color="auto" w:fill="auto"/>
                  <w:hideMark/>
                </w:tcPr>
                <w:p w:rsidR="00BE3352" w:rsidRPr="00F23097" w:rsidRDefault="00BE3352" w:rsidP="009815BC">
                  <w:pPr>
                    <w:rPr>
                      <w:sz w:val="20"/>
                    </w:rPr>
                  </w:pPr>
                  <w:r w:rsidRPr="00F23097">
                    <w:rPr>
                      <w:sz w:val="20"/>
                    </w:rPr>
                    <w:t xml:space="preserve">Más de dos años y hasta 5 años </w:t>
                  </w:r>
                </w:p>
              </w:tc>
              <w:tc>
                <w:tcPr>
                  <w:tcW w:w="1092" w:type="dxa"/>
                  <w:shd w:val="clear" w:color="auto" w:fill="auto"/>
                  <w:hideMark/>
                </w:tcPr>
                <w:p w:rsidR="00BE3352" w:rsidRPr="00F23097" w:rsidRDefault="00BE3352" w:rsidP="009815BC">
                  <w:pPr>
                    <w:rPr>
                      <w:sz w:val="20"/>
                    </w:rPr>
                  </w:pPr>
                  <w:r w:rsidRPr="00F23097">
                    <w:rPr>
                      <w:sz w:val="20"/>
                    </w:rPr>
                    <w:t>15</w:t>
                  </w:r>
                </w:p>
              </w:tc>
              <w:tc>
                <w:tcPr>
                  <w:tcW w:w="1134" w:type="dxa"/>
                  <w:vMerge w:val="restart"/>
                  <w:shd w:val="clear" w:color="auto" w:fill="auto"/>
                  <w:noWrap/>
                  <w:hideMark/>
                </w:tcPr>
                <w:p w:rsidR="00BE3352" w:rsidRPr="00F23097" w:rsidRDefault="00BE3352" w:rsidP="009815BC">
                  <w:pPr>
                    <w:rPr>
                      <w:sz w:val="20"/>
                    </w:rPr>
                  </w:pPr>
                  <w:r w:rsidRPr="00F23097">
                    <w:rPr>
                      <w:sz w:val="20"/>
                    </w:rPr>
                    <w:t>30</w:t>
                  </w:r>
                </w:p>
              </w:tc>
            </w:tr>
            <w:tr w:rsidR="00BE3352" w:rsidRPr="00F23097" w:rsidTr="009815BC">
              <w:trPr>
                <w:trHeight w:val="813"/>
                <w:jc w:val="center"/>
              </w:trPr>
              <w:tc>
                <w:tcPr>
                  <w:tcW w:w="4378" w:type="dxa"/>
                  <w:vMerge/>
                  <w:shd w:val="clear" w:color="auto" w:fill="auto"/>
                  <w:hideMark/>
                </w:tcPr>
                <w:p w:rsidR="00BE3352" w:rsidRPr="00715E9C" w:rsidRDefault="00BE3352" w:rsidP="00BE3352">
                  <w:pPr>
                    <w:pStyle w:val="Prrafodelista"/>
                    <w:widowControl/>
                    <w:numPr>
                      <w:ilvl w:val="0"/>
                      <w:numId w:val="7"/>
                    </w:numPr>
                    <w:autoSpaceDE/>
                    <w:autoSpaceDN/>
                    <w:spacing w:line="259" w:lineRule="auto"/>
                    <w:ind w:left="204" w:hanging="204"/>
                    <w:contextualSpacing/>
                    <w:jc w:val="both"/>
                    <w:rPr>
                      <w:sz w:val="20"/>
                    </w:rPr>
                  </w:pPr>
                </w:p>
              </w:tc>
              <w:tc>
                <w:tcPr>
                  <w:tcW w:w="1927" w:type="dxa"/>
                  <w:shd w:val="clear" w:color="auto" w:fill="auto"/>
                  <w:hideMark/>
                </w:tcPr>
                <w:p w:rsidR="00BE3352" w:rsidRPr="00F23097" w:rsidRDefault="00BE3352" w:rsidP="009815BC">
                  <w:pPr>
                    <w:rPr>
                      <w:sz w:val="20"/>
                    </w:rPr>
                  </w:pPr>
                  <w:r w:rsidRPr="00F23097">
                    <w:rPr>
                      <w:sz w:val="20"/>
                    </w:rPr>
                    <w:t>Más de 5 años.</w:t>
                  </w:r>
                </w:p>
              </w:tc>
              <w:tc>
                <w:tcPr>
                  <w:tcW w:w="1092" w:type="dxa"/>
                  <w:shd w:val="clear" w:color="auto" w:fill="auto"/>
                  <w:hideMark/>
                </w:tcPr>
                <w:p w:rsidR="00BE3352" w:rsidRPr="00F23097" w:rsidRDefault="00BE3352" w:rsidP="009815BC">
                  <w:pPr>
                    <w:rPr>
                      <w:sz w:val="20"/>
                    </w:rPr>
                  </w:pPr>
                  <w:r w:rsidRPr="00F23097">
                    <w:rPr>
                      <w:sz w:val="20"/>
                    </w:rPr>
                    <w:t>30</w:t>
                  </w:r>
                </w:p>
              </w:tc>
              <w:tc>
                <w:tcPr>
                  <w:tcW w:w="1134" w:type="dxa"/>
                  <w:vMerge/>
                  <w:shd w:val="clear" w:color="auto" w:fill="auto"/>
                  <w:hideMark/>
                </w:tcPr>
                <w:p w:rsidR="00BE3352" w:rsidRPr="00F23097" w:rsidRDefault="00BE3352" w:rsidP="009815BC">
                  <w:pPr>
                    <w:rPr>
                      <w:sz w:val="20"/>
                    </w:rPr>
                  </w:pPr>
                </w:p>
              </w:tc>
            </w:tr>
            <w:tr w:rsidR="00BE3352" w:rsidRPr="00F23097" w:rsidTr="009815BC">
              <w:trPr>
                <w:trHeight w:val="480"/>
                <w:jc w:val="center"/>
              </w:trPr>
              <w:tc>
                <w:tcPr>
                  <w:tcW w:w="4378" w:type="dxa"/>
                  <w:vMerge w:val="restart"/>
                  <w:shd w:val="clear" w:color="auto" w:fill="auto"/>
                  <w:hideMark/>
                </w:tcPr>
                <w:p w:rsidR="00BE3352" w:rsidRPr="00F23097" w:rsidRDefault="00BE3352" w:rsidP="00BE3352">
                  <w:pPr>
                    <w:pStyle w:val="Prrafodelista"/>
                    <w:widowControl/>
                    <w:numPr>
                      <w:ilvl w:val="0"/>
                      <w:numId w:val="7"/>
                    </w:numPr>
                    <w:autoSpaceDE/>
                    <w:autoSpaceDN/>
                    <w:spacing w:line="259" w:lineRule="auto"/>
                    <w:ind w:left="204" w:hanging="204"/>
                    <w:contextualSpacing/>
                    <w:jc w:val="both"/>
                    <w:rPr>
                      <w:sz w:val="20"/>
                    </w:rPr>
                  </w:pPr>
                  <w:r w:rsidRPr="00F23097">
                    <w:rPr>
                      <w:sz w:val="20"/>
                    </w:rPr>
                    <w:t>Experiencia profesional en entidades públicas de promoción y financiamiento de fondos concursables</w:t>
                  </w:r>
                </w:p>
              </w:tc>
              <w:tc>
                <w:tcPr>
                  <w:tcW w:w="1927" w:type="dxa"/>
                  <w:shd w:val="clear" w:color="auto" w:fill="auto"/>
                  <w:hideMark/>
                </w:tcPr>
                <w:p w:rsidR="00BE3352" w:rsidRPr="00F23097" w:rsidRDefault="00BE3352" w:rsidP="009815BC">
                  <w:pPr>
                    <w:rPr>
                      <w:sz w:val="20"/>
                    </w:rPr>
                  </w:pPr>
                  <w:r w:rsidRPr="00F23097">
                    <w:rPr>
                      <w:sz w:val="20"/>
                    </w:rPr>
                    <w:t>Hasta 2 años</w:t>
                  </w:r>
                </w:p>
              </w:tc>
              <w:tc>
                <w:tcPr>
                  <w:tcW w:w="1092" w:type="dxa"/>
                  <w:shd w:val="clear" w:color="auto" w:fill="auto"/>
                  <w:hideMark/>
                </w:tcPr>
                <w:p w:rsidR="00BE3352" w:rsidRPr="00F23097" w:rsidRDefault="00BE3352" w:rsidP="009815BC">
                  <w:pPr>
                    <w:rPr>
                      <w:sz w:val="20"/>
                    </w:rPr>
                  </w:pPr>
                  <w:r w:rsidRPr="00F23097">
                    <w:rPr>
                      <w:sz w:val="20"/>
                    </w:rPr>
                    <w:t>15</w:t>
                  </w:r>
                </w:p>
              </w:tc>
              <w:tc>
                <w:tcPr>
                  <w:tcW w:w="1134" w:type="dxa"/>
                  <w:vMerge w:val="restart"/>
                  <w:shd w:val="clear" w:color="auto" w:fill="auto"/>
                  <w:noWrap/>
                  <w:hideMark/>
                </w:tcPr>
                <w:p w:rsidR="00BE3352" w:rsidRPr="00F23097" w:rsidRDefault="00BE3352" w:rsidP="009815BC">
                  <w:pPr>
                    <w:rPr>
                      <w:sz w:val="20"/>
                    </w:rPr>
                  </w:pPr>
                  <w:r w:rsidRPr="00F23097">
                    <w:rPr>
                      <w:sz w:val="20"/>
                    </w:rPr>
                    <w:t>30</w:t>
                  </w:r>
                </w:p>
              </w:tc>
            </w:tr>
            <w:tr w:rsidR="00BE3352" w:rsidRPr="00F23097" w:rsidTr="009815BC">
              <w:trPr>
                <w:trHeight w:val="465"/>
                <w:jc w:val="center"/>
              </w:trPr>
              <w:tc>
                <w:tcPr>
                  <w:tcW w:w="4378" w:type="dxa"/>
                  <w:vMerge/>
                  <w:shd w:val="clear" w:color="auto" w:fill="auto"/>
                  <w:hideMark/>
                </w:tcPr>
                <w:p w:rsidR="00BE3352" w:rsidRPr="00715E9C" w:rsidRDefault="00BE3352" w:rsidP="009815BC">
                  <w:pPr>
                    <w:rPr>
                      <w:sz w:val="20"/>
                    </w:rPr>
                  </w:pPr>
                </w:p>
              </w:tc>
              <w:tc>
                <w:tcPr>
                  <w:tcW w:w="1927" w:type="dxa"/>
                  <w:shd w:val="clear" w:color="auto" w:fill="auto"/>
                  <w:hideMark/>
                </w:tcPr>
                <w:p w:rsidR="00BE3352" w:rsidRPr="00F23097" w:rsidRDefault="00BE3352" w:rsidP="009815BC">
                  <w:pPr>
                    <w:rPr>
                      <w:sz w:val="20"/>
                    </w:rPr>
                  </w:pPr>
                  <w:r w:rsidRPr="00F23097">
                    <w:rPr>
                      <w:sz w:val="20"/>
                    </w:rPr>
                    <w:t>Mas de 2 años</w:t>
                  </w:r>
                </w:p>
              </w:tc>
              <w:tc>
                <w:tcPr>
                  <w:tcW w:w="1092" w:type="dxa"/>
                  <w:shd w:val="clear" w:color="auto" w:fill="auto"/>
                  <w:hideMark/>
                </w:tcPr>
                <w:p w:rsidR="00BE3352" w:rsidRPr="00F23097" w:rsidRDefault="00BE3352" w:rsidP="009815BC">
                  <w:pPr>
                    <w:rPr>
                      <w:sz w:val="20"/>
                    </w:rPr>
                  </w:pPr>
                  <w:r w:rsidRPr="00F23097">
                    <w:rPr>
                      <w:sz w:val="20"/>
                    </w:rPr>
                    <w:t>30</w:t>
                  </w:r>
                </w:p>
              </w:tc>
              <w:tc>
                <w:tcPr>
                  <w:tcW w:w="1134" w:type="dxa"/>
                  <w:vMerge/>
                  <w:shd w:val="clear" w:color="auto" w:fill="auto"/>
                  <w:hideMark/>
                </w:tcPr>
                <w:p w:rsidR="00BE3352" w:rsidRPr="00F23097" w:rsidRDefault="00BE3352" w:rsidP="009815BC">
                  <w:pPr>
                    <w:rPr>
                      <w:sz w:val="20"/>
                    </w:rPr>
                  </w:pPr>
                </w:p>
              </w:tc>
            </w:tr>
            <w:tr w:rsidR="00BE3352" w:rsidRPr="00F23097" w:rsidTr="009815BC">
              <w:trPr>
                <w:trHeight w:val="315"/>
                <w:jc w:val="center"/>
              </w:trPr>
              <w:tc>
                <w:tcPr>
                  <w:tcW w:w="4378" w:type="dxa"/>
                  <w:shd w:val="clear" w:color="auto" w:fill="auto"/>
                  <w:hideMark/>
                </w:tcPr>
                <w:p w:rsidR="00BE3352" w:rsidRPr="00F23097" w:rsidRDefault="00BE3352" w:rsidP="009815BC">
                  <w:pPr>
                    <w:rPr>
                      <w:sz w:val="20"/>
                    </w:rPr>
                  </w:pPr>
                  <w:r w:rsidRPr="00F23097">
                    <w:rPr>
                      <w:sz w:val="20"/>
                    </w:rPr>
                    <w:t xml:space="preserve">TOTAL </w:t>
                  </w:r>
                </w:p>
              </w:tc>
              <w:tc>
                <w:tcPr>
                  <w:tcW w:w="1927" w:type="dxa"/>
                  <w:shd w:val="clear" w:color="auto" w:fill="auto"/>
                  <w:hideMark/>
                </w:tcPr>
                <w:p w:rsidR="00BE3352" w:rsidRPr="00F23097" w:rsidRDefault="00BE3352" w:rsidP="009815BC">
                  <w:pPr>
                    <w:rPr>
                      <w:sz w:val="20"/>
                    </w:rPr>
                  </w:pPr>
                  <w:r w:rsidRPr="00F23097">
                    <w:rPr>
                      <w:sz w:val="20"/>
                    </w:rPr>
                    <w:t> </w:t>
                  </w:r>
                </w:p>
              </w:tc>
              <w:tc>
                <w:tcPr>
                  <w:tcW w:w="1092" w:type="dxa"/>
                  <w:shd w:val="clear" w:color="auto" w:fill="auto"/>
                  <w:hideMark/>
                </w:tcPr>
                <w:p w:rsidR="00BE3352" w:rsidRPr="00F23097" w:rsidRDefault="00BE3352" w:rsidP="009815BC">
                  <w:pPr>
                    <w:rPr>
                      <w:sz w:val="20"/>
                    </w:rPr>
                  </w:pPr>
                  <w:r w:rsidRPr="00F23097">
                    <w:rPr>
                      <w:sz w:val="20"/>
                    </w:rPr>
                    <w:t>100</w:t>
                  </w:r>
                </w:p>
              </w:tc>
              <w:tc>
                <w:tcPr>
                  <w:tcW w:w="1134" w:type="dxa"/>
                  <w:shd w:val="clear" w:color="auto" w:fill="auto"/>
                  <w:noWrap/>
                  <w:hideMark/>
                </w:tcPr>
                <w:p w:rsidR="00BE3352" w:rsidRPr="00F23097" w:rsidRDefault="00BE3352" w:rsidP="009815BC">
                  <w:pPr>
                    <w:rPr>
                      <w:sz w:val="20"/>
                    </w:rPr>
                  </w:pPr>
                  <w:r w:rsidRPr="00F23097">
                    <w:rPr>
                      <w:sz w:val="20"/>
                    </w:rPr>
                    <w:t>100</w:t>
                  </w:r>
                </w:p>
              </w:tc>
            </w:tr>
          </w:tbl>
          <w:p w:rsidR="00BE3352" w:rsidRPr="008C009F" w:rsidRDefault="00BE3352" w:rsidP="009815BC">
            <w:pPr>
              <w:rPr>
                <w:sz w:val="14"/>
                <w:szCs w:val="20"/>
              </w:rPr>
            </w:pPr>
          </w:p>
        </w:tc>
      </w:tr>
      <w:tr w:rsidR="00BE3352" w:rsidRPr="00F06D26" w:rsidTr="009815BC">
        <w:trPr>
          <w:trHeight w:val="267"/>
        </w:trPr>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t>FUNCIONES</w:t>
            </w:r>
            <w:r>
              <w:rPr>
                <w:b/>
                <w:sz w:val="20"/>
                <w:szCs w:val="20"/>
              </w:rPr>
              <w:t xml:space="preserve"> Y ACTIVIDADES</w:t>
            </w:r>
          </w:p>
        </w:tc>
      </w:tr>
      <w:tr w:rsidR="00BE3352" w:rsidRPr="00F06D26" w:rsidTr="009815BC">
        <w:tc>
          <w:tcPr>
            <w:tcW w:w="9060" w:type="dxa"/>
          </w:tcPr>
          <w:p w:rsidR="00BE3352" w:rsidRPr="00077606" w:rsidRDefault="00BE3352" w:rsidP="009815BC">
            <w:pPr>
              <w:jc w:val="both"/>
              <w:rPr>
                <w:sz w:val="16"/>
                <w:szCs w:val="16"/>
              </w:rPr>
            </w:pPr>
          </w:p>
          <w:p w:rsidR="00BE3352" w:rsidRPr="00077606" w:rsidRDefault="00BE3352" w:rsidP="00BE3352">
            <w:pPr>
              <w:pStyle w:val="Prrafodelista"/>
              <w:numPr>
                <w:ilvl w:val="0"/>
                <w:numId w:val="5"/>
              </w:numPr>
              <w:contextualSpacing/>
              <w:jc w:val="both"/>
              <w:rPr>
                <w:sz w:val="20"/>
                <w:szCs w:val="20"/>
              </w:rPr>
            </w:pPr>
            <w:r w:rsidRPr="00077606">
              <w:rPr>
                <w:sz w:val="20"/>
                <w:szCs w:val="20"/>
              </w:rPr>
              <w:t>Velar por la aplicación del Manual Operativo (capítulo de adquisiciones) del Proyecto en versión vigente aprobada por el Consejo Directivo del Proyecto, presidencia del CONCYTEC y con la no objeción del BM.</w:t>
            </w:r>
          </w:p>
          <w:p w:rsidR="00BE3352" w:rsidRPr="00077606" w:rsidRDefault="00BE3352" w:rsidP="00BE3352">
            <w:pPr>
              <w:pStyle w:val="Prrafodelista"/>
              <w:numPr>
                <w:ilvl w:val="0"/>
                <w:numId w:val="5"/>
              </w:numPr>
              <w:contextualSpacing/>
              <w:jc w:val="both"/>
              <w:rPr>
                <w:sz w:val="20"/>
                <w:szCs w:val="20"/>
              </w:rPr>
            </w:pPr>
            <w:r w:rsidRPr="00077606">
              <w:rPr>
                <w:sz w:val="20"/>
                <w:szCs w:val="20"/>
              </w:rPr>
              <w:t xml:space="preserve">Verificar que se utilicen los documentos estándar del BM para cada método de selección y acordar con el BM los documentos simplificados que se requieran, los mismos que se anexaran al presente Manual (cuando amerite su utilización). Así mismo, preparar los documentos de adquisiciones con base en la información técnica (especificaciones técnicas y/o términos de referencia) que prepare el equipo técnico y la coordinación del proyecto. </w:t>
            </w:r>
          </w:p>
          <w:p w:rsidR="00BE3352" w:rsidRPr="00077606" w:rsidRDefault="00BE3352" w:rsidP="00BE3352">
            <w:pPr>
              <w:pStyle w:val="Prrafodelista"/>
              <w:numPr>
                <w:ilvl w:val="0"/>
                <w:numId w:val="5"/>
              </w:numPr>
              <w:contextualSpacing/>
              <w:jc w:val="both"/>
              <w:rPr>
                <w:sz w:val="20"/>
                <w:szCs w:val="20"/>
              </w:rPr>
            </w:pPr>
            <w:r w:rsidRPr="00077606">
              <w:rPr>
                <w:sz w:val="20"/>
                <w:szCs w:val="20"/>
              </w:rPr>
              <w:t xml:space="preserve">Elaborar conjuntamente con las áreas técnicas y el coordinador del Proyecto el Plan de Adquisiciones Anual, garantizar su programación en STEP, hacer seguimiento de su aprobación, homologar o ajustar cuando se requiera las actividades de cada componente del Proyecto y, con la información necesaria, preparar un cronograma detallado de adquisiciones y contrataciones requeridas para la ejecución del Proyecto a través de la </w:t>
            </w:r>
            <w:r w:rsidRPr="00715E9C">
              <w:rPr>
                <w:sz w:val="20"/>
                <w:szCs w:val="20"/>
              </w:rPr>
              <w:t>unidad ejecutora FONDECYT y</w:t>
            </w:r>
            <w:r w:rsidRPr="00077606">
              <w:rPr>
                <w:sz w:val="20"/>
                <w:szCs w:val="20"/>
              </w:rPr>
              <w:t xml:space="preserve"> someterlo a consideración y aprobación del BM.</w:t>
            </w:r>
          </w:p>
          <w:p w:rsidR="00BE3352" w:rsidRPr="00077606" w:rsidRDefault="00BE3352" w:rsidP="00BE3352">
            <w:pPr>
              <w:pStyle w:val="Prrafodelista"/>
              <w:numPr>
                <w:ilvl w:val="0"/>
                <w:numId w:val="5"/>
              </w:numPr>
              <w:contextualSpacing/>
              <w:jc w:val="both"/>
              <w:rPr>
                <w:sz w:val="20"/>
                <w:szCs w:val="20"/>
              </w:rPr>
            </w:pPr>
            <w:r w:rsidRPr="00077606">
              <w:rPr>
                <w:sz w:val="20"/>
                <w:szCs w:val="20"/>
              </w:rPr>
              <w:t>Garantizar el correcto desarrollo de los procesos de selección y contratación, alertar sobre los puntos de control de los mismos, para la adecuada y oportuna gestión ante el BM de la respectiva a cada etapa de los procesos, según corresponda.</w:t>
            </w:r>
          </w:p>
          <w:p w:rsidR="00BE3352" w:rsidRPr="00077606" w:rsidRDefault="00BE3352" w:rsidP="00BE3352">
            <w:pPr>
              <w:pStyle w:val="Prrafodelista"/>
              <w:numPr>
                <w:ilvl w:val="0"/>
                <w:numId w:val="5"/>
              </w:numPr>
              <w:contextualSpacing/>
              <w:jc w:val="both"/>
              <w:rPr>
                <w:sz w:val="20"/>
                <w:szCs w:val="20"/>
              </w:rPr>
            </w:pPr>
            <w:r w:rsidRPr="00077606">
              <w:rPr>
                <w:sz w:val="20"/>
                <w:szCs w:val="20"/>
              </w:rPr>
              <w:t xml:space="preserve">Llevar acabo los procesos de adquisiciones y contrataciones que se requieran en desarrollo del proyecto, cumpliendo, entre otras, las siguientes actividades: realizar las gestiones para las publicaciones que sean necesarias (periódicos nacionales, UNBD online, portal de contratación, </w:t>
            </w:r>
            <w:r w:rsidR="00D75891" w:rsidRPr="00077606">
              <w:rPr>
                <w:sz w:val="20"/>
                <w:szCs w:val="20"/>
              </w:rPr>
              <w:t>etc.</w:t>
            </w:r>
            <w:r w:rsidRPr="00077606">
              <w:rPr>
                <w:sz w:val="20"/>
                <w:szCs w:val="20"/>
              </w:rPr>
              <w:t xml:space="preserve">), participar en las reuniones programadas para aclaración de los procesos, preparar las </w:t>
            </w:r>
            <w:r w:rsidRPr="00077606">
              <w:rPr>
                <w:sz w:val="20"/>
                <w:szCs w:val="20"/>
              </w:rPr>
              <w:lastRenderedPageBreak/>
              <w:t xml:space="preserve">actas </w:t>
            </w:r>
            <w:r w:rsidR="00FD3DC1" w:rsidRPr="00803EC4">
              <w:rPr>
                <w:noProof/>
                <w:lang w:val="en-US" w:eastAsia="en-US" w:bidi="ar-SA"/>
              </w:rPr>
              <w:drawing>
                <wp:anchor distT="0" distB="0" distL="0" distR="0" simplePos="0" relativeHeight="268431503" behindDoc="1" locked="0" layoutInCell="1" allowOverlap="1" wp14:anchorId="3F62B21F" wp14:editId="485834CA">
                  <wp:simplePos x="0" y="0"/>
                  <wp:positionH relativeFrom="page">
                    <wp:posOffset>-98425</wp:posOffset>
                  </wp:positionH>
                  <wp:positionV relativeFrom="page">
                    <wp:posOffset>-1393825</wp:posOffset>
                  </wp:positionV>
                  <wp:extent cx="6172200" cy="10363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72200" cy="10363200"/>
                          </a:xfrm>
                          <a:prstGeom prst="rect">
                            <a:avLst/>
                          </a:prstGeom>
                        </pic:spPr>
                      </pic:pic>
                    </a:graphicData>
                  </a:graphic>
                  <wp14:sizeRelH relativeFrom="margin">
                    <wp14:pctWidth>0</wp14:pctWidth>
                  </wp14:sizeRelH>
                  <wp14:sizeRelV relativeFrom="margin">
                    <wp14:pctHeight>0</wp14:pctHeight>
                  </wp14:sizeRelV>
                </wp:anchor>
              </w:drawing>
            </w:r>
            <w:r w:rsidRPr="00077606">
              <w:rPr>
                <w:sz w:val="20"/>
                <w:szCs w:val="20"/>
              </w:rPr>
              <w:t xml:space="preserve">(de aclaración, apertura, negociación, </w:t>
            </w:r>
            <w:r w:rsidR="00D75891" w:rsidRPr="00077606">
              <w:rPr>
                <w:sz w:val="20"/>
                <w:szCs w:val="20"/>
              </w:rPr>
              <w:t>etc.</w:t>
            </w:r>
            <w:r w:rsidRPr="00077606">
              <w:rPr>
                <w:sz w:val="20"/>
                <w:szCs w:val="20"/>
              </w:rPr>
              <w:t xml:space="preserve">) respectivas en coordinación con el equipo técnico y garantizar la publicidad a todos los interesados, participar en los procedimientos de apertura de ofertas/propuestas, consolidar y revisar los informes de evaluación en los formatos estándar del Banco cuando así se requiera, participar en las reuniones de negociación, proyectar las minutas de los contratos, chequear las listas sobre consultores y/o contratistas  inelegibles antes de la adjudicación del contrato, proyectar las enmiendas a los contratos de conformidad con las solicitudes y revisar las justificaciones y su viabilidad). </w:t>
            </w:r>
          </w:p>
          <w:p w:rsidR="00BE3352" w:rsidRPr="00077606" w:rsidRDefault="00BE3352" w:rsidP="00BE3352">
            <w:pPr>
              <w:pStyle w:val="Prrafodelista"/>
              <w:numPr>
                <w:ilvl w:val="0"/>
                <w:numId w:val="5"/>
              </w:numPr>
              <w:contextualSpacing/>
              <w:jc w:val="both"/>
              <w:rPr>
                <w:sz w:val="20"/>
                <w:szCs w:val="20"/>
              </w:rPr>
            </w:pPr>
            <w:r w:rsidRPr="00077606">
              <w:rPr>
                <w:sz w:val="20"/>
                <w:szCs w:val="20"/>
              </w:rPr>
              <w:t>Asesorar y apoyar a las áreas técnicas en lo relativo a la planeación de los procesos (construcción de TDR, estudios de mercado, criterios de evaluación, evaluaciones de ofertas/propuestas etc.).</w:t>
            </w:r>
          </w:p>
          <w:p w:rsidR="00BE3352" w:rsidRPr="00077606" w:rsidRDefault="00BE3352" w:rsidP="00BE3352">
            <w:pPr>
              <w:pStyle w:val="Prrafodelista"/>
              <w:numPr>
                <w:ilvl w:val="0"/>
                <w:numId w:val="5"/>
              </w:numPr>
              <w:contextualSpacing/>
              <w:jc w:val="both"/>
              <w:rPr>
                <w:sz w:val="20"/>
                <w:szCs w:val="20"/>
              </w:rPr>
            </w:pPr>
            <w:r w:rsidRPr="00077606">
              <w:rPr>
                <w:sz w:val="20"/>
                <w:szCs w:val="20"/>
              </w:rPr>
              <w:t>Establecer y mantener un sistema de recepción y seguimiento de quejas relacionadas con los procesos de adquisiciones y/o administración de los contratos.</w:t>
            </w:r>
          </w:p>
          <w:p w:rsidR="00BE3352" w:rsidRPr="00077606" w:rsidRDefault="00BE3352" w:rsidP="00BE3352">
            <w:pPr>
              <w:pStyle w:val="Prrafodelista"/>
              <w:numPr>
                <w:ilvl w:val="0"/>
                <w:numId w:val="5"/>
              </w:numPr>
              <w:contextualSpacing/>
              <w:jc w:val="both"/>
              <w:rPr>
                <w:sz w:val="20"/>
                <w:szCs w:val="20"/>
              </w:rPr>
            </w:pPr>
            <w:r w:rsidRPr="00077606">
              <w:rPr>
                <w:sz w:val="20"/>
                <w:szCs w:val="20"/>
              </w:rPr>
              <w:t>Participar en las misiones del Banco.</w:t>
            </w:r>
          </w:p>
          <w:p w:rsidR="00BE3352" w:rsidRPr="00077606" w:rsidRDefault="00BE3352" w:rsidP="00BE3352">
            <w:pPr>
              <w:pStyle w:val="Prrafodelista"/>
              <w:numPr>
                <w:ilvl w:val="0"/>
                <w:numId w:val="5"/>
              </w:numPr>
              <w:contextualSpacing/>
              <w:jc w:val="both"/>
              <w:rPr>
                <w:sz w:val="20"/>
                <w:szCs w:val="20"/>
              </w:rPr>
            </w:pPr>
            <w:r w:rsidRPr="00077606">
              <w:rPr>
                <w:sz w:val="20"/>
                <w:szCs w:val="20"/>
              </w:rPr>
              <w:t>Mantener el archivo de los procesos de contratación debidamente organizado.</w:t>
            </w:r>
          </w:p>
          <w:p w:rsidR="00BE3352" w:rsidRPr="00077606" w:rsidRDefault="00BE3352" w:rsidP="00BE3352">
            <w:pPr>
              <w:pStyle w:val="Prrafodelista"/>
              <w:numPr>
                <w:ilvl w:val="0"/>
                <w:numId w:val="5"/>
              </w:numPr>
              <w:contextualSpacing/>
              <w:jc w:val="both"/>
              <w:rPr>
                <w:sz w:val="20"/>
                <w:szCs w:val="20"/>
              </w:rPr>
            </w:pPr>
            <w:r w:rsidRPr="00077606">
              <w:rPr>
                <w:sz w:val="20"/>
                <w:szCs w:val="20"/>
              </w:rPr>
              <w:t xml:space="preserve">En el marco de la ejecución de los sub proyectos las funciones del Especialista de Adquisiciones son:  </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Apoyar, revisar y aprobar el Plan de Adquisiciones elaborado por los beneficiarios de cada convenio/subproyecto que les sea adjudicado.</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Acompañar a la Unidad de Seguimiento y Monitoreo en el seguimiento permanente al avance y ejecución de los Planes de Adquisiciones de los subproyectos.</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Proporcionar la herramienta o formato a partir del cual los beneficiarios deberán elaborar el Plan de Adquisiciones.</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Capacitar a los beneficiarios de las subvenciones en la normatividad y procedimientos del BM.</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 xml:space="preserve">Supervisar y acompañar los procedimientos de adquisiciones y contrataciones de bienes, servicios de consultoría y no consultoría que lleven a cabo los beneficiarios.  </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 xml:space="preserve">Realizar la revisión previa (ex - ante) a los procesos que lleven a cabo los beneficiarios, de cada una de las etapas de los diferentes métodos, (cuando así se pacte en el plan de adquisiciones) de los bienes, servicios de consultoría y servicios de no consultoría. </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Realizar la revisión posterior (ex - post) de los procedimientos efectuados por los beneficiarios.</w:t>
            </w:r>
          </w:p>
          <w:p w:rsidR="00BE3352" w:rsidRPr="00077606" w:rsidRDefault="00BE3352" w:rsidP="00BE3352">
            <w:pPr>
              <w:pStyle w:val="Prrafodelista"/>
              <w:numPr>
                <w:ilvl w:val="0"/>
                <w:numId w:val="5"/>
              </w:numPr>
              <w:ind w:left="1298"/>
              <w:contextualSpacing/>
              <w:jc w:val="both"/>
              <w:rPr>
                <w:sz w:val="20"/>
                <w:szCs w:val="20"/>
              </w:rPr>
            </w:pPr>
            <w:r w:rsidRPr="00077606">
              <w:rPr>
                <w:sz w:val="20"/>
                <w:szCs w:val="20"/>
              </w:rPr>
              <w:t>Gestionar ante el BM, según corresponda, las no objeciones a los procedimientos de adquisición y/o contratación de bienes, servicios de consultoría y no consultoría que lleven a cabo los beneficiarios.</w:t>
            </w:r>
          </w:p>
          <w:p w:rsidR="00BE3352" w:rsidRPr="00077606" w:rsidRDefault="00BE3352" w:rsidP="00BE3352">
            <w:pPr>
              <w:pStyle w:val="Prrafodelista"/>
              <w:numPr>
                <w:ilvl w:val="0"/>
                <w:numId w:val="5"/>
              </w:numPr>
              <w:contextualSpacing/>
              <w:jc w:val="both"/>
              <w:rPr>
                <w:sz w:val="20"/>
                <w:szCs w:val="20"/>
              </w:rPr>
            </w:pPr>
            <w:r w:rsidRPr="00077606">
              <w:rPr>
                <w:sz w:val="20"/>
                <w:szCs w:val="20"/>
              </w:rPr>
              <w:t>Proporcionar y mantener actualizado los documentos estándar de cada uno de los métodos de adquisiciones y contrataciones.</w:t>
            </w:r>
          </w:p>
          <w:p w:rsidR="00BE3352" w:rsidRPr="00077606" w:rsidRDefault="00BE3352" w:rsidP="00BE3352">
            <w:pPr>
              <w:pStyle w:val="Prrafodelista"/>
              <w:numPr>
                <w:ilvl w:val="0"/>
                <w:numId w:val="5"/>
              </w:numPr>
              <w:contextualSpacing/>
              <w:jc w:val="both"/>
              <w:rPr>
                <w:sz w:val="20"/>
                <w:szCs w:val="20"/>
              </w:rPr>
            </w:pPr>
            <w:r w:rsidRPr="00077606">
              <w:rPr>
                <w:sz w:val="20"/>
                <w:szCs w:val="20"/>
              </w:rPr>
              <w:t xml:space="preserve">Otras funciones que el </w:t>
            </w:r>
            <w:r>
              <w:rPr>
                <w:sz w:val="20"/>
                <w:szCs w:val="20"/>
              </w:rPr>
              <w:t>Coordinador Adjunto del Proyecto le</w:t>
            </w:r>
            <w:r w:rsidRPr="00077606">
              <w:rPr>
                <w:sz w:val="20"/>
                <w:szCs w:val="20"/>
              </w:rPr>
              <w:t xml:space="preserve"> solicite, en el ámbito de su competencia.</w:t>
            </w:r>
          </w:p>
          <w:p w:rsidR="00BE3352" w:rsidRPr="008C009F" w:rsidRDefault="00BE3352" w:rsidP="009815BC">
            <w:pPr>
              <w:pStyle w:val="Prrafodelista"/>
              <w:ind w:left="457"/>
              <w:jc w:val="both"/>
              <w:rPr>
                <w:sz w:val="12"/>
                <w:szCs w:val="20"/>
              </w:rPr>
            </w:pPr>
          </w:p>
        </w:tc>
      </w:tr>
      <w:tr w:rsidR="00BE3352" w:rsidRPr="00F06D26" w:rsidTr="009815BC">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lastRenderedPageBreak/>
              <w:t>SUPERVISIÓN</w:t>
            </w:r>
          </w:p>
        </w:tc>
      </w:tr>
      <w:tr w:rsidR="00BE3352" w:rsidRPr="00F06D26" w:rsidTr="009815BC">
        <w:tc>
          <w:tcPr>
            <w:tcW w:w="9060" w:type="dxa"/>
          </w:tcPr>
          <w:p w:rsidR="00BE3352" w:rsidRPr="00077606" w:rsidRDefault="00BE3352" w:rsidP="009815BC">
            <w:pPr>
              <w:jc w:val="both"/>
              <w:rPr>
                <w:sz w:val="12"/>
                <w:szCs w:val="20"/>
              </w:rPr>
            </w:pPr>
          </w:p>
          <w:p w:rsidR="00BE3352" w:rsidRDefault="00BE3352" w:rsidP="009815BC">
            <w:pPr>
              <w:jc w:val="both"/>
              <w:rPr>
                <w:sz w:val="20"/>
                <w:szCs w:val="20"/>
              </w:rPr>
            </w:pPr>
            <w:r w:rsidRPr="00077606">
              <w:rPr>
                <w:sz w:val="20"/>
                <w:szCs w:val="20"/>
              </w:rPr>
              <w:t xml:space="preserve">Informes de avance mensual entregado al </w:t>
            </w:r>
            <w:r>
              <w:rPr>
                <w:sz w:val="20"/>
                <w:szCs w:val="20"/>
              </w:rPr>
              <w:t>Coordinador Adjunto del Proyecto.</w:t>
            </w:r>
          </w:p>
          <w:p w:rsidR="00BE3352" w:rsidRPr="00077606" w:rsidRDefault="00BE3352" w:rsidP="009815BC">
            <w:pPr>
              <w:jc w:val="both"/>
              <w:rPr>
                <w:sz w:val="12"/>
                <w:szCs w:val="20"/>
              </w:rPr>
            </w:pPr>
          </w:p>
        </w:tc>
      </w:tr>
      <w:tr w:rsidR="00BE3352" w:rsidRPr="00F06D26" w:rsidTr="009815BC">
        <w:trPr>
          <w:trHeight w:val="179"/>
        </w:trPr>
        <w:tc>
          <w:tcPr>
            <w:tcW w:w="9060" w:type="dxa"/>
            <w:vAlign w:val="center"/>
          </w:tcPr>
          <w:p w:rsidR="00BE3352" w:rsidRPr="00F06D26" w:rsidRDefault="00BE3352" w:rsidP="00BE3352">
            <w:pPr>
              <w:pStyle w:val="Prrafodelista"/>
              <w:numPr>
                <w:ilvl w:val="0"/>
                <w:numId w:val="6"/>
              </w:numPr>
              <w:ind w:left="316" w:hanging="284"/>
              <w:contextualSpacing/>
              <w:rPr>
                <w:b/>
                <w:sz w:val="20"/>
                <w:szCs w:val="20"/>
              </w:rPr>
            </w:pPr>
            <w:r w:rsidRPr="00F06D26">
              <w:rPr>
                <w:b/>
                <w:sz w:val="20"/>
                <w:szCs w:val="20"/>
              </w:rPr>
              <w:t>SUPERVISIÓN</w:t>
            </w:r>
          </w:p>
        </w:tc>
      </w:tr>
      <w:tr w:rsidR="00BE3352" w:rsidRPr="00F06D26" w:rsidTr="009815BC">
        <w:tc>
          <w:tcPr>
            <w:tcW w:w="9060" w:type="dxa"/>
          </w:tcPr>
          <w:p w:rsidR="00BE3352" w:rsidRPr="00715E9C" w:rsidRDefault="00BE3352" w:rsidP="009815BC">
            <w:pPr>
              <w:rPr>
                <w:sz w:val="12"/>
                <w:szCs w:val="20"/>
              </w:rPr>
            </w:pPr>
          </w:p>
          <w:p w:rsidR="00BE3352" w:rsidRPr="00715E9C" w:rsidRDefault="00BE3352" w:rsidP="009815BC">
            <w:pPr>
              <w:rPr>
                <w:sz w:val="20"/>
                <w:szCs w:val="20"/>
              </w:rPr>
            </w:pPr>
            <w:r w:rsidRPr="00715E9C">
              <w:rPr>
                <w:sz w:val="20"/>
                <w:szCs w:val="20"/>
              </w:rPr>
              <w:t>El Especialista en Adquisiciones reportará su gestión, al Coordinador Adjunto del Proyecto</w:t>
            </w:r>
            <w:r w:rsidRPr="00715E9C" w:rsidDel="004C7DDB">
              <w:rPr>
                <w:sz w:val="20"/>
                <w:szCs w:val="20"/>
              </w:rPr>
              <w:t xml:space="preserve"> </w:t>
            </w:r>
            <w:r w:rsidRPr="00715E9C">
              <w:rPr>
                <w:sz w:val="20"/>
                <w:szCs w:val="20"/>
              </w:rPr>
              <w:t>a través de informes de avances mensuales. Se realizará la evaluación de resultados antes de finalizar el año.</w:t>
            </w:r>
          </w:p>
          <w:p w:rsidR="00BE3352" w:rsidRPr="00715E9C" w:rsidRDefault="00BE3352" w:rsidP="009815BC">
            <w:pPr>
              <w:rPr>
                <w:sz w:val="12"/>
                <w:szCs w:val="20"/>
              </w:rPr>
            </w:pPr>
          </w:p>
        </w:tc>
      </w:tr>
      <w:tr w:rsidR="00BE3352" w:rsidRPr="00F06D26" w:rsidTr="009815BC">
        <w:trPr>
          <w:trHeight w:val="141"/>
        </w:trPr>
        <w:tc>
          <w:tcPr>
            <w:tcW w:w="9060" w:type="dxa"/>
            <w:vAlign w:val="center"/>
          </w:tcPr>
          <w:p w:rsidR="00BE3352" w:rsidRPr="00715E9C" w:rsidRDefault="00BE3352" w:rsidP="00BE3352">
            <w:pPr>
              <w:pStyle w:val="Prrafodelista"/>
              <w:numPr>
                <w:ilvl w:val="0"/>
                <w:numId w:val="6"/>
              </w:numPr>
              <w:ind w:left="316" w:hanging="284"/>
              <w:contextualSpacing/>
              <w:rPr>
                <w:b/>
                <w:sz w:val="20"/>
                <w:szCs w:val="20"/>
              </w:rPr>
            </w:pPr>
            <w:r w:rsidRPr="00715E9C">
              <w:rPr>
                <w:b/>
                <w:sz w:val="20"/>
                <w:szCs w:val="20"/>
              </w:rPr>
              <w:t>PLAZO Y PAGO</w:t>
            </w:r>
          </w:p>
        </w:tc>
      </w:tr>
      <w:tr w:rsidR="00BE3352" w:rsidRPr="00F06D26" w:rsidTr="009815BC">
        <w:tc>
          <w:tcPr>
            <w:tcW w:w="9060" w:type="dxa"/>
          </w:tcPr>
          <w:p w:rsidR="00BE3352" w:rsidRPr="00715E9C" w:rsidRDefault="00BE3352" w:rsidP="009815BC">
            <w:pPr>
              <w:jc w:val="both"/>
              <w:rPr>
                <w:sz w:val="12"/>
                <w:szCs w:val="20"/>
              </w:rPr>
            </w:pPr>
          </w:p>
          <w:p w:rsidR="00BE3352" w:rsidRPr="00715E9C" w:rsidRDefault="00BE3352" w:rsidP="009815BC">
            <w:pPr>
              <w:jc w:val="both"/>
              <w:rPr>
                <w:sz w:val="20"/>
                <w:szCs w:val="20"/>
              </w:rPr>
            </w:pPr>
            <w:r w:rsidRPr="00715E9C">
              <w:rPr>
                <w:sz w:val="20"/>
                <w:szCs w:val="20"/>
              </w:rPr>
              <w:t>El Especialista en Adquisiciones reportará su gestión, al Coordinador Adjunto del Proyecto</w:t>
            </w:r>
            <w:r w:rsidRPr="00715E9C" w:rsidDel="004C7DDB">
              <w:rPr>
                <w:sz w:val="20"/>
                <w:szCs w:val="20"/>
              </w:rPr>
              <w:t xml:space="preserve"> </w:t>
            </w:r>
            <w:r w:rsidRPr="00715E9C">
              <w:rPr>
                <w:sz w:val="20"/>
                <w:szCs w:val="20"/>
              </w:rPr>
              <w:t>a través de informes de avances mensuales. Se realizará la evaluación de resultados antes de finalizar el año.</w:t>
            </w:r>
          </w:p>
          <w:p w:rsidR="00BE3352" w:rsidRPr="00715E9C" w:rsidRDefault="00BE3352" w:rsidP="009815BC">
            <w:pPr>
              <w:jc w:val="both"/>
              <w:rPr>
                <w:sz w:val="20"/>
                <w:szCs w:val="20"/>
              </w:rPr>
            </w:pPr>
            <w:r w:rsidRPr="00715E9C">
              <w:rPr>
                <w:sz w:val="20"/>
                <w:szCs w:val="20"/>
              </w:rPr>
              <w:t>El contrato tendrá una duración de un año, por la modalidad de consultoría. El pago se realizará a la presentación del informe mensual y conformidad del jefe inmediato. Los honorarios, incluyen los impuestos de ley. El contrato podrá renovarse anualmente según la evaluación de resultados.</w:t>
            </w:r>
          </w:p>
          <w:p w:rsidR="00BE3352" w:rsidRPr="00715E9C" w:rsidRDefault="00BE3352" w:rsidP="009815BC">
            <w:pPr>
              <w:jc w:val="both"/>
              <w:rPr>
                <w:sz w:val="12"/>
                <w:szCs w:val="20"/>
              </w:rPr>
            </w:pPr>
          </w:p>
        </w:tc>
      </w:tr>
      <w:tr w:rsidR="00BE3352" w:rsidRPr="00F06D26" w:rsidTr="009815BC">
        <w:trPr>
          <w:trHeight w:val="359"/>
        </w:trPr>
        <w:tc>
          <w:tcPr>
            <w:tcW w:w="9060" w:type="dxa"/>
            <w:shd w:val="clear" w:color="auto" w:fill="D9D9D9" w:themeFill="background1" w:themeFillShade="D9"/>
            <w:vAlign w:val="center"/>
          </w:tcPr>
          <w:p w:rsidR="00BE3352" w:rsidRPr="008C009F" w:rsidRDefault="00BE3352" w:rsidP="009815BC">
            <w:pPr>
              <w:rPr>
                <w:b/>
                <w:sz w:val="20"/>
                <w:szCs w:val="20"/>
              </w:rPr>
            </w:pPr>
            <w:r w:rsidRPr="008C009F">
              <w:rPr>
                <w:b/>
                <w:sz w:val="20"/>
                <w:szCs w:val="20"/>
              </w:rPr>
              <w:lastRenderedPageBreak/>
              <w:t xml:space="preserve">CONFLICTO DE INTERESES </w:t>
            </w:r>
            <w:r>
              <w:rPr>
                <w:b/>
                <w:sz w:val="20"/>
                <w:szCs w:val="20"/>
              </w:rPr>
              <w:t>–</w:t>
            </w:r>
            <w:r w:rsidRPr="008C009F">
              <w:rPr>
                <w:b/>
                <w:sz w:val="20"/>
                <w:szCs w:val="20"/>
              </w:rPr>
              <w:t xml:space="preserve"> ELEGIBILIDAD</w:t>
            </w:r>
          </w:p>
        </w:tc>
      </w:tr>
      <w:tr w:rsidR="00BE3352" w:rsidRPr="00F06D26" w:rsidTr="009815BC">
        <w:tc>
          <w:tcPr>
            <w:tcW w:w="9060" w:type="dxa"/>
          </w:tcPr>
          <w:p w:rsidR="00BE3352" w:rsidRPr="00A25366" w:rsidRDefault="00BE3352" w:rsidP="009815BC">
            <w:pPr>
              <w:rPr>
                <w:sz w:val="12"/>
                <w:szCs w:val="20"/>
              </w:rPr>
            </w:pPr>
          </w:p>
          <w:p w:rsidR="00BE3352" w:rsidRDefault="00BE3352" w:rsidP="009815BC">
            <w:pPr>
              <w:jc w:val="both"/>
              <w:rPr>
                <w:sz w:val="20"/>
                <w:szCs w:val="20"/>
              </w:rPr>
            </w:pPr>
            <w:r w:rsidRPr="00F06D26">
              <w:rPr>
                <w:sz w:val="20"/>
                <w:szCs w:val="20"/>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w:t>
            </w:r>
            <w:r>
              <w:rPr>
                <w:sz w:val="20"/>
                <w:szCs w:val="20"/>
              </w:rPr>
              <w:t xml:space="preserve">las </w:t>
            </w:r>
            <w:r w:rsidRPr="00F06D26">
              <w:rPr>
                <w:sz w:val="20"/>
                <w:szCs w:val="20"/>
              </w:rPr>
              <w:t xml:space="preserve">Normas </w:t>
            </w:r>
            <w:r>
              <w:rPr>
                <w:sz w:val="20"/>
                <w:szCs w:val="20"/>
              </w:rPr>
              <w:t xml:space="preserve">de </w:t>
            </w:r>
            <w:r w:rsidRPr="00F06D26">
              <w:rPr>
                <w:sz w:val="20"/>
                <w:szCs w:val="20"/>
              </w:rPr>
              <w:t>enero 2011 revisadas en julio de 2014, los cuales podrán ser consultados en la página Web:</w:t>
            </w:r>
          </w:p>
          <w:p w:rsidR="00BE3352" w:rsidRPr="00F445B6" w:rsidRDefault="00D84CE0" w:rsidP="009815BC">
            <w:pPr>
              <w:rPr>
                <w:sz w:val="18"/>
                <w:szCs w:val="20"/>
              </w:rPr>
            </w:pPr>
            <w:hyperlink r:id="rId9" w:history="1">
              <w:r w:rsidR="00BE3352" w:rsidRPr="00977449">
                <w:rPr>
                  <w:rStyle w:val="Hipervnculo"/>
                  <w:sz w:val="18"/>
                  <w:szCs w:val="20"/>
                </w:rPr>
                <w:t>http://pubdocs.worldbank.org/en/552631459190145041/ProcurementConsultantHiringGuidelinesSpanishJuly2014.pdf</w:t>
              </w:r>
            </w:hyperlink>
          </w:p>
          <w:p w:rsidR="00BE3352" w:rsidRPr="00A25366" w:rsidRDefault="00BE3352" w:rsidP="009815BC">
            <w:pPr>
              <w:rPr>
                <w:sz w:val="12"/>
                <w:szCs w:val="20"/>
              </w:rPr>
            </w:pPr>
          </w:p>
        </w:tc>
      </w:tr>
    </w:tbl>
    <w:p w:rsidR="00BE3352" w:rsidRPr="00F06D26" w:rsidRDefault="00FD3DC1" w:rsidP="00BE3352">
      <w:r w:rsidRPr="00803EC4">
        <w:rPr>
          <w:noProof/>
          <w:lang w:val="en-US" w:eastAsia="en-US" w:bidi="ar-SA"/>
        </w:rPr>
        <w:drawing>
          <wp:anchor distT="0" distB="0" distL="0" distR="0" simplePos="0" relativeHeight="268433551" behindDoc="1" locked="0" layoutInCell="1" allowOverlap="1" wp14:anchorId="3F62B21F" wp14:editId="485834CA">
            <wp:simplePos x="0" y="0"/>
            <wp:positionH relativeFrom="page">
              <wp:posOffset>587375</wp:posOffset>
            </wp:positionH>
            <wp:positionV relativeFrom="page">
              <wp:align>center</wp:align>
            </wp:positionV>
            <wp:extent cx="6286500" cy="1053465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6500" cy="10534650"/>
                    </a:xfrm>
                    <a:prstGeom prst="rect">
                      <a:avLst/>
                    </a:prstGeom>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pPr>
    </w:p>
    <w:p w:rsidR="00796C24" w:rsidRPr="00803EC4" w:rsidRDefault="00796C24">
      <w:pPr>
        <w:pStyle w:val="Textoindependiente"/>
      </w:pPr>
    </w:p>
    <w:sectPr w:rsidR="00796C24" w:rsidRPr="00803EC4" w:rsidSect="00FD3DC1">
      <w:pgSz w:w="11906" w:h="16838" w:code="9"/>
      <w:pgMar w:top="2410" w:right="1320" w:bottom="1560" w:left="1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2" w15:restartNumberingAfterBreak="0">
    <w:nsid w:val="345E3C12"/>
    <w:multiLevelType w:val="hybridMultilevel"/>
    <w:tmpl w:val="78F00B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4A27365"/>
    <w:multiLevelType w:val="hybridMultilevel"/>
    <w:tmpl w:val="3B9C5572"/>
    <w:lvl w:ilvl="0" w:tplc="9238177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15:restartNumberingAfterBreak="0">
    <w:nsid w:val="3EBA1C0F"/>
    <w:multiLevelType w:val="hybridMultilevel"/>
    <w:tmpl w:val="654A49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24"/>
    <w:rsid w:val="00061487"/>
    <w:rsid w:val="000B1E7E"/>
    <w:rsid w:val="000B79DE"/>
    <w:rsid w:val="000E2737"/>
    <w:rsid w:val="001C7C04"/>
    <w:rsid w:val="00244E8A"/>
    <w:rsid w:val="002A68EC"/>
    <w:rsid w:val="002A7859"/>
    <w:rsid w:val="00315169"/>
    <w:rsid w:val="003C5C63"/>
    <w:rsid w:val="004304BF"/>
    <w:rsid w:val="006572D0"/>
    <w:rsid w:val="00796C24"/>
    <w:rsid w:val="007B10F3"/>
    <w:rsid w:val="00803EC4"/>
    <w:rsid w:val="00857DF8"/>
    <w:rsid w:val="00901EF7"/>
    <w:rsid w:val="009B15E7"/>
    <w:rsid w:val="00A10206"/>
    <w:rsid w:val="00A70FA9"/>
    <w:rsid w:val="00A84976"/>
    <w:rsid w:val="00AB6EF4"/>
    <w:rsid w:val="00AF5CFD"/>
    <w:rsid w:val="00B30AFE"/>
    <w:rsid w:val="00BC393F"/>
    <w:rsid w:val="00BE3352"/>
    <w:rsid w:val="00CD4FE4"/>
    <w:rsid w:val="00D75891"/>
    <w:rsid w:val="00D84CE0"/>
    <w:rsid w:val="00D86FD6"/>
    <w:rsid w:val="00E405AB"/>
    <w:rsid w:val="00E510AD"/>
    <w:rsid w:val="00F668DC"/>
    <w:rsid w:val="00FD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59FD"/>
  <w15:docId w15:val="{2E9135B2-D6EF-4B2A-8B80-CAB4126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styleId="Mencinsinresolver">
    <w:name w:val="Unresolved Mention"/>
    <w:basedOn w:val="Fuentedeprrafopredeter"/>
    <w:uiPriority w:val="99"/>
    <w:semiHidden/>
    <w:unhideWhenUsed/>
    <w:rsid w:val="00BC393F"/>
    <w:rPr>
      <w:color w:val="605E5C"/>
      <w:shd w:val="clear" w:color="auto" w:fill="E1DFDD"/>
    </w:rPr>
  </w:style>
  <w:style w:type="table" w:styleId="Tablaconcuadrcula">
    <w:name w:val="Table Grid"/>
    <w:basedOn w:val="Tablanormal"/>
    <w:uiPriority w:val="39"/>
    <w:rsid w:val="00BE3352"/>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cmartinez@fondecyt.gob.pe" TargetMode="External"/><Relationship Id="rId3" Type="http://schemas.openxmlformats.org/officeDocument/2006/relationships/settings" Target="settings.xml"/><Relationship Id="rId7" Type="http://schemas.openxmlformats.org/officeDocument/2006/relationships/hyperlink" Target="mailto:bm-vcravero@fondecyt.gob.p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docs.worldbank.org/en/6911459454616485/Procurement-GuidelinesSpanishJuly12014.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docs.worldbank.org/en/552631459190145041/ProcurementConsultantHiringGuidelinesSpanishJul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2194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Proyecto BM15</cp:lastModifiedBy>
  <cp:revision>9</cp:revision>
  <dcterms:created xsi:type="dcterms:W3CDTF">2019-02-19T15:31:00Z</dcterms:created>
  <dcterms:modified xsi:type="dcterms:W3CDTF">2019-02-19T21:49:00Z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