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24" w:rsidRPr="00803EC4" w:rsidRDefault="00796C24">
      <w:pPr>
        <w:pStyle w:val="Textoindependiente"/>
        <w:spacing w:before="8"/>
      </w:pPr>
    </w:p>
    <w:p w:rsidR="00796C24" w:rsidRPr="00803EC4" w:rsidRDefault="005C6C37">
      <w:pPr>
        <w:pStyle w:val="Ttulo1"/>
        <w:spacing w:before="100"/>
        <w:ind w:left="4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PERÚ</w:t>
      </w:r>
    </w:p>
    <w:p w:rsidR="00796C24" w:rsidRPr="00803EC4" w:rsidRDefault="00796C24">
      <w:pPr>
        <w:pStyle w:val="Textoindependiente"/>
        <w:spacing w:before="5"/>
        <w:rPr>
          <w:b/>
        </w:rPr>
      </w:pPr>
    </w:p>
    <w:p w:rsidR="00796C24" w:rsidRPr="00803EC4" w:rsidRDefault="00901EF7" w:rsidP="0005349E">
      <w:pPr>
        <w:spacing w:line="276" w:lineRule="auto"/>
        <w:ind w:right="85"/>
        <w:jc w:val="center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Proyecto Mejoramiento y Ampliación de los Servicios del Sistema Nacional de Ciencia, Tecnología e Innovación Tecnológica-SINACYT.</w:t>
      </w:r>
    </w:p>
    <w:p w:rsidR="00796C24" w:rsidRPr="00803EC4" w:rsidRDefault="00796C24">
      <w:pPr>
        <w:pStyle w:val="Textoindependiente"/>
        <w:spacing w:before="5"/>
        <w:rPr>
          <w:b/>
        </w:rPr>
      </w:pPr>
    </w:p>
    <w:p w:rsidR="00796C24" w:rsidRDefault="00901EF7" w:rsidP="0005349E">
      <w:pPr>
        <w:jc w:val="center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Contrato de Préstamo BIRF Nº 8682-PE</w:t>
      </w:r>
    </w:p>
    <w:p w:rsidR="00A14C52" w:rsidRPr="00803EC4" w:rsidRDefault="00A14C52" w:rsidP="0005349E">
      <w:pPr>
        <w:jc w:val="center"/>
        <w:rPr>
          <w:b/>
          <w:sz w:val="20"/>
          <w:szCs w:val="20"/>
        </w:rPr>
      </w:pPr>
    </w:p>
    <w:p w:rsidR="00796C24" w:rsidRPr="00803EC4" w:rsidRDefault="00C609D3" w:rsidP="00A14C52">
      <w:pPr>
        <w:pStyle w:val="Textoindependiente"/>
        <w:spacing w:before="2"/>
        <w:jc w:val="center"/>
        <w:rPr>
          <w:b/>
        </w:rPr>
      </w:pPr>
      <w:r>
        <w:rPr>
          <w:b/>
        </w:rPr>
        <w:t xml:space="preserve">PRIMERA </w:t>
      </w:r>
      <w:r w:rsidR="00A14C52">
        <w:rPr>
          <w:b/>
        </w:rPr>
        <w:t>CONVOCATORIA</w:t>
      </w:r>
    </w:p>
    <w:p w:rsidR="00796C24" w:rsidRDefault="00901EF7" w:rsidP="005D7213">
      <w:pPr>
        <w:pStyle w:val="Ttulo2"/>
        <w:ind w:left="0" w:right="341"/>
        <w:rPr>
          <w:rFonts w:ascii="Arial" w:hAnsi="Arial" w:cs="Arial"/>
        </w:rPr>
      </w:pPr>
      <w:r w:rsidRPr="00803EC4">
        <w:rPr>
          <w:rFonts w:ascii="Arial" w:hAnsi="Arial" w:cs="Arial"/>
        </w:rPr>
        <w:t xml:space="preserve">INVITACIÓN A PRESENTAR EXPRESIONES DE </w:t>
      </w:r>
      <w:r w:rsidR="0005349E">
        <w:rPr>
          <w:rFonts w:ascii="Arial" w:hAnsi="Arial" w:cs="Arial"/>
        </w:rPr>
        <w:t>I</w:t>
      </w:r>
      <w:r w:rsidRPr="00803EC4">
        <w:rPr>
          <w:rFonts w:ascii="Arial" w:hAnsi="Arial" w:cs="Arial"/>
        </w:rPr>
        <w:t xml:space="preserve">NTERÉS SERVICIO DE </w:t>
      </w:r>
      <w:r w:rsidR="005C6C37" w:rsidRPr="00803EC4">
        <w:rPr>
          <w:rFonts w:ascii="Arial" w:hAnsi="Arial" w:cs="Arial"/>
        </w:rPr>
        <w:t xml:space="preserve">CONSULTORÍA </w:t>
      </w:r>
      <w:r w:rsidRPr="00803EC4">
        <w:rPr>
          <w:rFonts w:ascii="Arial" w:hAnsi="Arial" w:cs="Arial"/>
        </w:rPr>
        <w:t>INDIVIDUAL</w:t>
      </w:r>
    </w:p>
    <w:p w:rsidR="005D7213" w:rsidRPr="00803EC4" w:rsidRDefault="005D7213" w:rsidP="005D7213">
      <w:pPr>
        <w:pStyle w:val="Ttulo2"/>
        <w:ind w:left="0" w:right="341"/>
        <w:rPr>
          <w:rFonts w:ascii="Arial" w:hAnsi="Arial" w:cs="Arial"/>
        </w:rPr>
      </w:pPr>
    </w:p>
    <w:p w:rsidR="00C609D3" w:rsidRDefault="00901EF7" w:rsidP="00C609D3">
      <w:pPr>
        <w:pStyle w:val="Textoindependiente"/>
        <w:ind w:left="112" w:right="480"/>
        <w:jc w:val="both"/>
      </w:pPr>
      <w:r w:rsidRPr="009C0A48">
        <w:t xml:space="preserve">El 08 de febrero del 2017 el Gobierno de la República del Perú firmó el contrato de préstamo BIRF 8682-PE con el Banco Internacional de Reconstrucción y Fomento (BIRF) para la ejecución del Proyecto Mejoramiento y Ampliación de los Servicios del SINACYT y se propone utilizar una parte de los fondos para contratar el servicio de consultoría individual: </w:t>
      </w:r>
      <w:r w:rsidR="00833CF9">
        <w:t>para la selección de gerentes</w:t>
      </w:r>
      <w:r w:rsidR="009C0A48" w:rsidRPr="009C0A48">
        <w:t>.</w:t>
      </w:r>
    </w:p>
    <w:p w:rsidR="00C609D3" w:rsidRDefault="00C609D3" w:rsidP="00C609D3">
      <w:pPr>
        <w:pStyle w:val="Textoindependiente"/>
        <w:ind w:left="112" w:right="480"/>
        <w:jc w:val="both"/>
      </w:pPr>
    </w:p>
    <w:p w:rsidR="00796C24" w:rsidRDefault="00C609D3" w:rsidP="00C609D3">
      <w:pPr>
        <w:pStyle w:val="Textoindependiente"/>
        <w:ind w:left="112" w:right="480"/>
        <w:jc w:val="both"/>
      </w:pPr>
      <w:r w:rsidRPr="00C609D3">
        <w:t>El objetivo es contratar consultores que ejecuten cada una de las actividades detalladas en las diferentes fases de las Iniciativas de Vinculación Academia-Industria y que se asigne según cronograma, formular la documentación necesaria, realizar trabajo de campo, recolectar información requerida de las empresas para el programa de capacitación y asistencia técnica que se va a llevar a cabo en el componente 2 a nivel nacional.</w:t>
      </w:r>
    </w:p>
    <w:p w:rsidR="00C609D3" w:rsidRPr="00803EC4" w:rsidRDefault="00C609D3" w:rsidP="00C609D3">
      <w:pPr>
        <w:pStyle w:val="Textoindependiente"/>
        <w:ind w:left="112" w:right="480"/>
        <w:jc w:val="both"/>
      </w:pPr>
    </w:p>
    <w:p w:rsidR="00C609D3" w:rsidRDefault="00CD4FE4" w:rsidP="00C609D3">
      <w:pPr>
        <w:pStyle w:val="Textoindependiente"/>
        <w:ind w:left="112" w:right="483"/>
        <w:jc w:val="both"/>
        <w:rPr>
          <w:rFonts w:eastAsia="Times New Roman"/>
          <w:color w:val="000000"/>
          <w:lang w:val="es-ES_tradnl"/>
        </w:rPr>
      </w:pPr>
      <w:r>
        <w:rPr>
          <w:spacing w:val="-3"/>
        </w:rPr>
        <w:t>Se requiere contratar</w:t>
      </w:r>
      <w:r w:rsidR="00F85176">
        <w:rPr>
          <w:spacing w:val="-3"/>
        </w:rPr>
        <w:t xml:space="preserve"> cinco (05)</w:t>
      </w:r>
      <w:r>
        <w:rPr>
          <w:spacing w:val="-3"/>
        </w:rPr>
        <w:t xml:space="preserve"> </w:t>
      </w:r>
      <w:r w:rsidRPr="00803EC4">
        <w:rPr>
          <w:spacing w:val="-3"/>
        </w:rPr>
        <w:t>consultor</w:t>
      </w:r>
      <w:r w:rsidR="00C609D3">
        <w:rPr>
          <w:spacing w:val="-3"/>
        </w:rPr>
        <w:t>es</w:t>
      </w:r>
      <w:r>
        <w:rPr>
          <w:spacing w:val="-3"/>
        </w:rPr>
        <w:t xml:space="preserve"> individual</w:t>
      </w:r>
      <w:r w:rsidR="00C609D3">
        <w:rPr>
          <w:spacing w:val="-3"/>
        </w:rPr>
        <w:t>es</w:t>
      </w:r>
      <w:r w:rsidRPr="00803EC4">
        <w:rPr>
          <w:spacing w:val="-3"/>
        </w:rPr>
        <w:t xml:space="preserve"> </w:t>
      </w:r>
      <w:r>
        <w:rPr>
          <w:spacing w:val="-3"/>
        </w:rPr>
        <w:t>c</w:t>
      </w:r>
      <w:r w:rsidR="00C609D3">
        <w:rPr>
          <w:spacing w:val="-3"/>
        </w:rPr>
        <w:t>on</w:t>
      </w:r>
      <w:r>
        <w:rPr>
          <w:spacing w:val="-3"/>
        </w:rPr>
        <w:t xml:space="preserve"> </w:t>
      </w:r>
      <w:r w:rsidR="009C58B1">
        <w:rPr>
          <w:spacing w:val="-3"/>
        </w:rPr>
        <w:t xml:space="preserve">un </w:t>
      </w:r>
      <w:r>
        <w:rPr>
          <w:spacing w:val="-3"/>
        </w:rPr>
        <w:t xml:space="preserve">perfil Profesional </w:t>
      </w:r>
      <w:r w:rsidR="0005349E" w:rsidRPr="00F61881">
        <w:rPr>
          <w:rFonts w:eastAsia="Times New Roman"/>
          <w:color w:val="000000"/>
          <w:lang w:val="es-ES_tradnl"/>
        </w:rPr>
        <w:t>en</w:t>
      </w:r>
      <w:r w:rsidR="00833CF9">
        <w:rPr>
          <w:rFonts w:eastAsia="Times New Roman"/>
          <w:color w:val="000000"/>
          <w:lang w:val="es-ES_tradnl"/>
        </w:rPr>
        <w:t xml:space="preserve"> </w:t>
      </w:r>
      <w:r w:rsidR="00C609D3" w:rsidRPr="00C609D3">
        <w:rPr>
          <w:rFonts w:eastAsia="Times New Roman"/>
          <w:color w:val="000000"/>
          <w:lang w:val="es-ES_tradnl"/>
        </w:rPr>
        <w:t xml:space="preserve">las carreras de </w:t>
      </w:r>
      <w:r w:rsidR="0063425A">
        <w:rPr>
          <w:rFonts w:eastAsia="Times New Roman"/>
          <w:color w:val="000000"/>
          <w:lang w:val="es-ES_tradnl"/>
        </w:rPr>
        <w:t xml:space="preserve">Biología, </w:t>
      </w:r>
      <w:r w:rsidR="00C609D3" w:rsidRPr="00C609D3">
        <w:rPr>
          <w:rFonts w:eastAsia="Times New Roman"/>
          <w:color w:val="000000"/>
          <w:lang w:val="es-ES_tradnl"/>
        </w:rPr>
        <w:t>Economía, Administració</w:t>
      </w:r>
      <w:r w:rsidR="00C609D3">
        <w:rPr>
          <w:rFonts w:eastAsia="Times New Roman"/>
          <w:color w:val="000000"/>
          <w:lang w:val="es-ES_tradnl"/>
        </w:rPr>
        <w:t>n, Ingeniería o carreras afines, con e</w:t>
      </w:r>
      <w:r w:rsidR="00C609D3" w:rsidRPr="00C609D3">
        <w:rPr>
          <w:rFonts w:eastAsia="Times New Roman"/>
          <w:color w:val="000000"/>
          <w:lang w:val="es-ES_tradnl"/>
        </w:rPr>
        <w:t>xperiencia mínima de cinco (5) años laborando en</w:t>
      </w:r>
      <w:r w:rsidR="00C609D3">
        <w:rPr>
          <w:rFonts w:eastAsia="Times New Roman"/>
          <w:color w:val="000000"/>
          <w:lang w:val="es-ES_tradnl"/>
        </w:rPr>
        <w:t xml:space="preserve"> entidades públicas o privadas</w:t>
      </w:r>
      <w:r w:rsidR="00784347">
        <w:rPr>
          <w:rFonts w:eastAsia="Times New Roman"/>
          <w:color w:val="000000"/>
          <w:lang w:val="es-ES_tradnl"/>
        </w:rPr>
        <w:t>,</w:t>
      </w:r>
      <w:bookmarkStart w:id="0" w:name="_GoBack"/>
      <w:bookmarkEnd w:id="0"/>
      <w:r w:rsidR="00C609D3">
        <w:rPr>
          <w:rFonts w:eastAsia="Times New Roman"/>
          <w:color w:val="000000"/>
          <w:lang w:val="es-ES_tradnl"/>
        </w:rPr>
        <w:t xml:space="preserve"> con e</w:t>
      </w:r>
      <w:r w:rsidR="00C609D3" w:rsidRPr="00C609D3">
        <w:rPr>
          <w:rFonts w:eastAsia="Times New Roman"/>
          <w:color w:val="000000"/>
          <w:lang w:val="es-ES_tradnl"/>
        </w:rPr>
        <w:t>xperiencia profesional mínima de dos (02) años desemp</w:t>
      </w:r>
      <w:r w:rsidR="00C609D3">
        <w:rPr>
          <w:rFonts w:eastAsia="Times New Roman"/>
          <w:color w:val="000000"/>
          <w:lang w:val="es-ES_tradnl"/>
        </w:rPr>
        <w:t>eñando funciones de acuerdo al detalle adjunto</w:t>
      </w:r>
      <w:r w:rsidR="00DA0744">
        <w:rPr>
          <w:rFonts w:eastAsia="Times New Roman"/>
          <w:color w:val="000000"/>
          <w:lang w:val="es-ES_tradnl"/>
        </w:rPr>
        <w:t xml:space="preserve"> (Términos de referencia)</w:t>
      </w:r>
      <w:r w:rsidR="00C609D3">
        <w:rPr>
          <w:rFonts w:eastAsia="Times New Roman"/>
          <w:color w:val="000000"/>
          <w:lang w:val="es-ES_tradnl"/>
        </w:rPr>
        <w:t>.</w:t>
      </w:r>
    </w:p>
    <w:p w:rsidR="00C609D3" w:rsidRDefault="00C609D3">
      <w:pPr>
        <w:pStyle w:val="Textoindependiente"/>
        <w:ind w:left="112" w:right="483"/>
        <w:jc w:val="both"/>
        <w:rPr>
          <w:rFonts w:eastAsia="Times New Roman"/>
          <w:color w:val="000000"/>
          <w:lang w:val="es-ES_tradnl"/>
        </w:rPr>
      </w:pPr>
    </w:p>
    <w:p w:rsidR="00796C24" w:rsidRPr="00803EC4" w:rsidRDefault="00901EF7">
      <w:pPr>
        <w:pStyle w:val="Textoindependiente"/>
        <w:ind w:left="112" w:right="492"/>
        <w:jc w:val="both"/>
      </w:pPr>
      <w:r w:rsidRPr="00803EC4">
        <w:rPr>
          <w:spacing w:val="-3"/>
        </w:rPr>
        <w:t xml:space="preserve">Las personas </w:t>
      </w:r>
      <w:r w:rsidRPr="00803EC4">
        <w:t xml:space="preserve">interesadas, </w:t>
      </w:r>
      <w:r w:rsidRPr="00803EC4">
        <w:rPr>
          <w:spacing w:val="-3"/>
        </w:rPr>
        <w:t xml:space="preserve">deberán expresar </w:t>
      </w:r>
      <w:r w:rsidRPr="00803EC4">
        <w:t xml:space="preserve">su interés </w:t>
      </w:r>
      <w:r w:rsidRPr="00803EC4">
        <w:rPr>
          <w:spacing w:val="-3"/>
        </w:rPr>
        <w:t xml:space="preserve">mediante </w:t>
      </w:r>
      <w:r w:rsidRPr="00803EC4">
        <w:t xml:space="preserve">la </w:t>
      </w:r>
      <w:r w:rsidRPr="00803EC4">
        <w:rPr>
          <w:spacing w:val="-3"/>
        </w:rPr>
        <w:t xml:space="preserve">presentación </w:t>
      </w:r>
      <w:r w:rsidRPr="00803EC4">
        <w:t xml:space="preserve">de su CV </w:t>
      </w:r>
      <w:r w:rsidRPr="00803EC4">
        <w:rPr>
          <w:spacing w:val="-3"/>
        </w:rPr>
        <w:t xml:space="preserve">debidamente </w:t>
      </w:r>
      <w:r w:rsidRPr="00803EC4">
        <w:t>firmado.</w:t>
      </w:r>
    </w:p>
    <w:p w:rsidR="00796C24" w:rsidRPr="00803EC4" w:rsidRDefault="00796C24">
      <w:pPr>
        <w:pStyle w:val="Textoindependiente"/>
        <w:spacing w:before="10"/>
      </w:pPr>
    </w:p>
    <w:p w:rsidR="00796C24" w:rsidRPr="00803EC4" w:rsidRDefault="00901EF7">
      <w:pPr>
        <w:pStyle w:val="Textoindependiente"/>
        <w:ind w:left="112" w:right="483"/>
        <w:jc w:val="both"/>
      </w:pPr>
      <w:r w:rsidRPr="00803EC4">
        <w:t>Los consultores serán seleccionados por el método de consultoría individual conforme a los procedimientos</w:t>
      </w:r>
      <w:r w:rsidRPr="00803EC4">
        <w:rPr>
          <w:spacing w:val="-6"/>
        </w:rPr>
        <w:t xml:space="preserve"> </w:t>
      </w:r>
      <w:r w:rsidRPr="00803EC4">
        <w:t>indicados</w:t>
      </w:r>
      <w:r w:rsidRPr="00803EC4">
        <w:rPr>
          <w:spacing w:val="-5"/>
        </w:rPr>
        <w:t xml:space="preserve"> </w:t>
      </w:r>
      <w:r w:rsidRPr="00803EC4">
        <w:t>en</w:t>
      </w:r>
      <w:r w:rsidRPr="00803EC4">
        <w:rPr>
          <w:spacing w:val="-8"/>
        </w:rPr>
        <w:t xml:space="preserve"> </w:t>
      </w:r>
      <w:r w:rsidRPr="00803EC4">
        <w:t>las</w:t>
      </w:r>
      <w:r w:rsidRPr="00803EC4">
        <w:rPr>
          <w:spacing w:val="2"/>
        </w:rPr>
        <w:t xml:space="preserve"> </w:t>
      </w:r>
      <w:r w:rsidRPr="00803EC4">
        <w:t>Normas</w:t>
      </w:r>
      <w:r w:rsidRPr="00803EC4">
        <w:rPr>
          <w:spacing w:val="-1"/>
        </w:rPr>
        <w:t xml:space="preserve"> </w:t>
      </w:r>
      <w:r w:rsidRPr="00803EC4">
        <w:t>para</w:t>
      </w:r>
      <w:r w:rsidRPr="00803EC4">
        <w:rPr>
          <w:spacing w:val="-6"/>
        </w:rPr>
        <w:t xml:space="preserve"> </w:t>
      </w:r>
      <w:r w:rsidRPr="00803EC4">
        <w:t>la</w:t>
      </w:r>
      <w:r w:rsidRPr="00803EC4">
        <w:rPr>
          <w:spacing w:val="-1"/>
        </w:rPr>
        <w:t xml:space="preserve"> </w:t>
      </w:r>
      <w:r w:rsidRPr="00803EC4">
        <w:t>Selección</w:t>
      </w:r>
      <w:r w:rsidRPr="00803EC4">
        <w:rPr>
          <w:spacing w:val="-3"/>
        </w:rPr>
        <w:t xml:space="preserve"> </w:t>
      </w:r>
      <w:r w:rsidRPr="00803EC4">
        <w:t>y</w:t>
      </w:r>
      <w:r w:rsidRPr="00803EC4">
        <w:rPr>
          <w:spacing w:val="-5"/>
        </w:rPr>
        <w:t xml:space="preserve"> </w:t>
      </w:r>
      <w:r w:rsidRPr="00803EC4">
        <w:t>Contratación</w:t>
      </w:r>
      <w:r w:rsidRPr="00803EC4">
        <w:rPr>
          <w:spacing w:val="-3"/>
        </w:rPr>
        <w:t xml:space="preserve"> </w:t>
      </w:r>
      <w:r w:rsidRPr="00803EC4">
        <w:t>de</w:t>
      </w:r>
      <w:r w:rsidRPr="00803EC4">
        <w:rPr>
          <w:spacing w:val="-6"/>
        </w:rPr>
        <w:t xml:space="preserve"> </w:t>
      </w:r>
      <w:r w:rsidRPr="00803EC4">
        <w:t>Consultores</w:t>
      </w:r>
      <w:r w:rsidRPr="00803EC4">
        <w:rPr>
          <w:spacing w:val="-1"/>
        </w:rPr>
        <w:t xml:space="preserve"> </w:t>
      </w:r>
      <w:r w:rsidRPr="00803EC4">
        <w:t>financiados</w:t>
      </w:r>
      <w:r w:rsidRPr="00803EC4">
        <w:rPr>
          <w:spacing w:val="-5"/>
        </w:rPr>
        <w:t xml:space="preserve"> </w:t>
      </w:r>
      <w:r w:rsidRPr="00803EC4">
        <w:t>por el Banco Mundial, edición enero 2011 revisada en julio</w:t>
      </w:r>
      <w:r w:rsidRPr="00803EC4">
        <w:rPr>
          <w:spacing w:val="-10"/>
        </w:rPr>
        <w:t xml:space="preserve"> </w:t>
      </w:r>
      <w:r w:rsidRPr="00803EC4">
        <w:t>2014;</w:t>
      </w:r>
    </w:p>
    <w:p w:rsidR="00796C24" w:rsidRPr="00803EC4" w:rsidRDefault="00796C24">
      <w:pPr>
        <w:pStyle w:val="Textoindependiente"/>
        <w:spacing w:before="2"/>
      </w:pPr>
    </w:p>
    <w:p w:rsidR="00C609D3" w:rsidRDefault="00901EF7" w:rsidP="0005349E">
      <w:pPr>
        <w:spacing w:line="237" w:lineRule="auto"/>
        <w:ind w:left="112" w:right="341"/>
        <w:jc w:val="both"/>
        <w:rPr>
          <w:sz w:val="20"/>
          <w:szCs w:val="20"/>
        </w:rPr>
      </w:pPr>
      <w:r w:rsidRPr="00803EC4">
        <w:rPr>
          <w:sz w:val="20"/>
          <w:szCs w:val="20"/>
        </w:rPr>
        <w:t>Los consultores interesados deben prestar atención a la política de confl</w:t>
      </w:r>
      <w:r w:rsidR="00C609D3">
        <w:rPr>
          <w:sz w:val="20"/>
          <w:szCs w:val="20"/>
        </w:rPr>
        <w:t xml:space="preserve">icto de interés, párrafo 1.9 de </w:t>
      </w:r>
      <w:r w:rsidRPr="00803EC4">
        <w:rPr>
          <w:sz w:val="20"/>
          <w:szCs w:val="20"/>
        </w:rPr>
        <w:t>las Normas referidas, las cuales podrán se</w:t>
      </w:r>
      <w:r w:rsidR="00C609D3">
        <w:rPr>
          <w:sz w:val="20"/>
          <w:szCs w:val="20"/>
        </w:rPr>
        <w:t>r consultadas en la página Web:</w:t>
      </w:r>
    </w:p>
    <w:p w:rsidR="00796C24" w:rsidRPr="00803EC4" w:rsidRDefault="00D834C6" w:rsidP="0005349E">
      <w:pPr>
        <w:spacing w:line="237" w:lineRule="auto"/>
        <w:ind w:left="112" w:right="341"/>
        <w:jc w:val="both"/>
        <w:rPr>
          <w:sz w:val="20"/>
          <w:szCs w:val="20"/>
        </w:rPr>
      </w:pPr>
      <w:hyperlink r:id="rId7">
        <w:r w:rsidR="00901EF7" w:rsidRPr="00803EC4">
          <w:rPr>
            <w:color w:val="0000FF"/>
            <w:sz w:val="20"/>
            <w:szCs w:val="20"/>
          </w:rPr>
          <w:t>http://pubdocs.worldbank.org/en/6911459454616485/Procurement-GuidelinesSpanishJuly12014.pdf</w:t>
        </w:r>
      </w:hyperlink>
    </w:p>
    <w:p w:rsidR="00796C24" w:rsidRPr="00803EC4" w:rsidRDefault="00796C24">
      <w:pPr>
        <w:pStyle w:val="Textoindependiente"/>
        <w:spacing w:before="5"/>
      </w:pPr>
    </w:p>
    <w:p w:rsidR="00796C24" w:rsidRPr="00061487" w:rsidRDefault="00901EF7">
      <w:pPr>
        <w:pStyle w:val="Textoindependiente"/>
        <w:spacing w:line="242" w:lineRule="auto"/>
        <w:ind w:left="112" w:right="497"/>
        <w:jc w:val="both"/>
      </w:pPr>
      <w:r w:rsidRPr="000E3244">
        <w:t xml:space="preserve">Las expresiones de interés deberán ser enviadas vía correo electrónico a la dirección indicada líneas abajo, a más tardar a las </w:t>
      </w:r>
      <w:r w:rsidR="001465E4">
        <w:t>24</w:t>
      </w:r>
      <w:r w:rsidRPr="000E3244">
        <w:t xml:space="preserve">:00 horas del día </w:t>
      </w:r>
      <w:r w:rsidR="00334780">
        <w:t>22</w:t>
      </w:r>
      <w:r w:rsidR="00C609D3">
        <w:t xml:space="preserve"> </w:t>
      </w:r>
      <w:r w:rsidRPr="000E3244">
        <w:t xml:space="preserve">de </w:t>
      </w:r>
      <w:r w:rsidR="00C609D3">
        <w:t>abril</w:t>
      </w:r>
      <w:r w:rsidRPr="000E3244">
        <w:t xml:space="preserve"> de 201</w:t>
      </w:r>
      <w:r w:rsidR="00244E8A" w:rsidRPr="000E3244">
        <w:t>9</w:t>
      </w:r>
      <w:r w:rsidRPr="000E3244">
        <w:t>.</w:t>
      </w:r>
    </w:p>
    <w:p w:rsidR="00796C24" w:rsidRPr="00061487" w:rsidRDefault="00796C24">
      <w:pPr>
        <w:pStyle w:val="Textoindependiente"/>
        <w:spacing w:before="9"/>
      </w:pPr>
    </w:p>
    <w:p w:rsidR="00796C24" w:rsidRPr="00C609D3" w:rsidRDefault="00901EF7" w:rsidP="00C609D3">
      <w:pPr>
        <w:pStyle w:val="Textoindependiente"/>
        <w:spacing w:before="1"/>
        <w:ind w:left="112" w:right="485"/>
        <w:jc w:val="both"/>
      </w:pPr>
      <w:r w:rsidRPr="00061487">
        <w:t xml:space="preserve">Es importante indicar en el asunto del correo de respuesta lo siguiente:” Expresión de interés </w:t>
      </w:r>
      <w:r w:rsidR="00C609D3">
        <w:t xml:space="preserve">para el </w:t>
      </w:r>
      <w:r w:rsidR="00C609D3" w:rsidRPr="00C609D3">
        <w:t xml:space="preserve">Servicio </w:t>
      </w:r>
      <w:r w:rsidR="00C609D3">
        <w:t>d</w:t>
      </w:r>
      <w:r w:rsidR="00C609D3" w:rsidRPr="00C609D3">
        <w:t xml:space="preserve">e Consultoría Individual </w:t>
      </w:r>
      <w:r w:rsidR="00C609D3">
        <w:t>p</w:t>
      </w:r>
      <w:r w:rsidR="00C609D3" w:rsidRPr="00C609D3">
        <w:t xml:space="preserve">ara </w:t>
      </w:r>
      <w:r w:rsidR="00C609D3">
        <w:t>e</w:t>
      </w:r>
      <w:r w:rsidR="00C609D3" w:rsidRPr="00C609D3">
        <w:t xml:space="preserve">l Seguimiento </w:t>
      </w:r>
      <w:r w:rsidR="00C609D3">
        <w:t>d</w:t>
      </w:r>
      <w:r w:rsidR="00C609D3" w:rsidRPr="00C609D3">
        <w:t xml:space="preserve">e </w:t>
      </w:r>
      <w:r w:rsidR="00C609D3">
        <w:t>l</w:t>
      </w:r>
      <w:r w:rsidR="00C609D3" w:rsidRPr="00C609D3">
        <w:t xml:space="preserve">as Actividades </w:t>
      </w:r>
      <w:r w:rsidR="00C609D3">
        <w:t>y</w:t>
      </w:r>
      <w:r w:rsidR="00C609D3" w:rsidRPr="00C609D3">
        <w:t xml:space="preserve"> Formulación </w:t>
      </w:r>
      <w:r w:rsidR="00C609D3">
        <w:t>d</w:t>
      </w:r>
      <w:r w:rsidR="00C609D3" w:rsidRPr="00C609D3">
        <w:t xml:space="preserve">e Documentos </w:t>
      </w:r>
      <w:r w:rsidR="00C609D3">
        <w:t>d</w:t>
      </w:r>
      <w:r w:rsidR="00C609D3" w:rsidRPr="00C609D3">
        <w:t xml:space="preserve">e </w:t>
      </w:r>
      <w:r w:rsidR="00C609D3">
        <w:t>l</w:t>
      </w:r>
      <w:r w:rsidR="00C609D3" w:rsidRPr="00C609D3">
        <w:t xml:space="preserve">as Iniciativas </w:t>
      </w:r>
      <w:r w:rsidR="00C609D3">
        <w:t>d</w:t>
      </w:r>
      <w:r w:rsidR="00C609D3" w:rsidRPr="00C609D3">
        <w:t>e Vinculación Academia-Industria”</w:t>
      </w:r>
      <w:r w:rsidR="009C58B1">
        <w:t>.</w:t>
      </w:r>
    </w:p>
    <w:p w:rsidR="009C58B1" w:rsidRDefault="009C58B1">
      <w:pPr>
        <w:pStyle w:val="Textoindependiente"/>
        <w:ind w:left="112"/>
      </w:pPr>
    </w:p>
    <w:p w:rsidR="00796C24" w:rsidRPr="00061487" w:rsidRDefault="00901EF7">
      <w:pPr>
        <w:pStyle w:val="Textoindependiente"/>
        <w:ind w:left="112"/>
      </w:pPr>
      <w:r w:rsidRPr="00061487">
        <w:t>FONDECYT</w:t>
      </w:r>
    </w:p>
    <w:p w:rsidR="00796C24" w:rsidRPr="00061487" w:rsidRDefault="00901EF7">
      <w:pPr>
        <w:pStyle w:val="Textoindependiente"/>
        <w:spacing w:before="2"/>
        <w:ind w:left="112" w:right="3851"/>
      </w:pPr>
      <w:r w:rsidRPr="00061487">
        <w:t>Proyecto Mejoramiento y Ampliación de los Servicios del SINACYT Calle Schell 459 – Miraflores</w:t>
      </w:r>
    </w:p>
    <w:p w:rsidR="00796C24" w:rsidRPr="00061487" w:rsidRDefault="00901EF7">
      <w:pPr>
        <w:pStyle w:val="Textoindependiente"/>
        <w:spacing w:line="229" w:lineRule="exact"/>
        <w:ind w:left="112"/>
        <w:jc w:val="both"/>
      </w:pPr>
      <w:r w:rsidRPr="00061487">
        <w:t>Teléfono 6440004 anexo 106</w:t>
      </w:r>
    </w:p>
    <w:p w:rsidR="00796C24" w:rsidRPr="00803EC4" w:rsidRDefault="00901EF7">
      <w:pPr>
        <w:pStyle w:val="Textoindependiente"/>
        <w:spacing w:line="229" w:lineRule="exact"/>
        <w:ind w:left="112"/>
        <w:jc w:val="both"/>
      </w:pPr>
      <w:r w:rsidRPr="00061487">
        <w:t xml:space="preserve">Correo electrónico: </w:t>
      </w:r>
      <w:hyperlink r:id="rId8" w:history="1">
        <w:r w:rsidR="00C609D3" w:rsidRPr="007E2082">
          <w:rPr>
            <w:rStyle w:val="Hipervnculo"/>
            <w:u w:color="0000FF"/>
          </w:rPr>
          <w:t>bm-jguevara@fondecyt.gob.pe</w:t>
        </w:r>
        <w:r w:rsidR="00C609D3" w:rsidRPr="007E2082">
          <w:rPr>
            <w:rStyle w:val="Hipervnculo"/>
          </w:rPr>
          <w:t xml:space="preserve">, </w:t>
        </w:r>
      </w:hyperlink>
      <w:r w:rsidRPr="00061487">
        <w:t xml:space="preserve">con copia a </w:t>
      </w:r>
      <w:hyperlink r:id="rId9" w:history="1">
        <w:r w:rsidR="009C58B1" w:rsidRPr="007E2082">
          <w:rPr>
            <w:rStyle w:val="Hipervnculo"/>
          </w:rPr>
          <w:t>bm-mflores@fondecyt.gob.pe</w:t>
        </w:r>
      </w:hyperlink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  <w:spacing w:before="3"/>
      </w:pPr>
    </w:p>
    <w:p w:rsidR="00796C24" w:rsidRPr="00803EC4" w:rsidRDefault="00901EF7" w:rsidP="000B79DE">
      <w:pPr>
        <w:pStyle w:val="Textoindependiente"/>
        <w:ind w:left="4334" w:right="390"/>
        <w:jc w:val="right"/>
      </w:pPr>
      <w:r w:rsidRPr="00803EC4">
        <w:t xml:space="preserve">Miraflores, </w:t>
      </w:r>
      <w:r w:rsidR="00C609D3">
        <w:t>05</w:t>
      </w:r>
      <w:r w:rsidRPr="00803EC4">
        <w:t xml:space="preserve"> de </w:t>
      </w:r>
      <w:r w:rsidR="00C609D3">
        <w:t>abril</w:t>
      </w:r>
      <w:r w:rsidR="000E3244">
        <w:t xml:space="preserve"> de 2019</w:t>
      </w:r>
    </w:p>
    <w:p w:rsidR="00796C24" w:rsidRPr="00803EC4" w:rsidRDefault="00796C24">
      <w:pPr>
        <w:pStyle w:val="Textoindependiente"/>
      </w:pPr>
    </w:p>
    <w:p w:rsidR="00796C24" w:rsidRPr="00803EC4" w:rsidRDefault="00796C24" w:rsidP="001F200B">
      <w:pPr>
        <w:pStyle w:val="Textoindependiente"/>
        <w:spacing w:before="59"/>
        <w:ind w:right="501"/>
        <w:sectPr w:rsidR="00796C24" w:rsidRPr="00803EC4" w:rsidSect="00833CF9">
          <w:headerReference w:type="default" r:id="rId10"/>
          <w:footerReference w:type="default" r:id="rId11"/>
          <w:type w:val="continuous"/>
          <w:pgSz w:w="11910" w:h="16840"/>
          <w:pgMar w:top="1620" w:right="1137" w:bottom="1276" w:left="1360" w:header="720" w:footer="720" w:gutter="0"/>
          <w:cols w:space="720"/>
        </w:sectPr>
      </w:pPr>
    </w:p>
    <w:p w:rsidR="006679D5" w:rsidRPr="008C31C6" w:rsidRDefault="006679D5" w:rsidP="006679D5">
      <w:pPr>
        <w:spacing w:after="200"/>
        <w:jc w:val="center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lastRenderedPageBreak/>
        <w:t>PROYECTO MEJORAMIENTO Y AMPLIACIÓN DEL SISTEMA NACIONAL DE CIENCIA, TECNOLOGÍA E INNOVACIÓN TECNOLÓGICA.</w:t>
      </w:r>
    </w:p>
    <w:p w:rsidR="006679D5" w:rsidRPr="008C31C6" w:rsidRDefault="006679D5" w:rsidP="006679D5">
      <w:pPr>
        <w:jc w:val="center"/>
        <w:rPr>
          <w:b/>
          <w:lang w:val="es-ES_tradnl" w:eastAsia="es-PE"/>
        </w:rPr>
      </w:pPr>
    </w:p>
    <w:p w:rsidR="006679D5" w:rsidRPr="008C31C6" w:rsidRDefault="006679D5" w:rsidP="006679D5">
      <w:pPr>
        <w:jc w:val="center"/>
        <w:rPr>
          <w:b/>
          <w:lang w:val="es-ES_tradnl" w:eastAsia="es-PE"/>
        </w:rPr>
      </w:pPr>
      <w:r w:rsidRPr="008C31C6">
        <w:rPr>
          <w:b/>
          <w:lang w:val="es-ES_tradnl" w:eastAsia="es-PE"/>
        </w:rPr>
        <w:t xml:space="preserve">TÉRMINOS DE REFERENCIA </w:t>
      </w:r>
    </w:p>
    <w:p w:rsidR="006679D5" w:rsidRPr="008C31C6" w:rsidRDefault="006679D5" w:rsidP="006679D5">
      <w:pPr>
        <w:spacing w:after="200"/>
        <w:jc w:val="center"/>
        <w:rPr>
          <w:b/>
          <w:lang w:val="es-ES_tradnl" w:eastAsia="es-PE"/>
        </w:rPr>
      </w:pPr>
    </w:p>
    <w:p w:rsidR="006679D5" w:rsidRPr="008C31C6" w:rsidRDefault="006679D5" w:rsidP="006679D5">
      <w:pPr>
        <w:jc w:val="center"/>
        <w:rPr>
          <w:b/>
          <w:kern w:val="12"/>
          <w:lang w:val="es-ES_tradnl"/>
        </w:rPr>
      </w:pPr>
      <w:r w:rsidRPr="008C31C6">
        <w:rPr>
          <w:b/>
          <w:lang w:val="es-ES_tradnl"/>
        </w:rPr>
        <w:t>“</w:t>
      </w:r>
      <w:r w:rsidRPr="008C31C6">
        <w:rPr>
          <w:rStyle w:val="EYBodytextwithparaspaceChar"/>
          <w:b/>
          <w:lang w:val="es-ES_tradnl"/>
        </w:rPr>
        <w:t>SERVICIO DE CONSULTORÍA INDIVIDUAL PARA EL SEGUIMIENTO DE LAS ACTIVIDADES Y FORMULACIÓN DE DOCUMENTOS DE LAS INICIATIVAS DE VINCULACIÓN ACADEMIA-INDUSTRIA</w:t>
      </w:r>
      <w:r w:rsidRPr="008C31C6">
        <w:rPr>
          <w:b/>
          <w:lang w:val="es-ES_tradnl"/>
        </w:rPr>
        <w:t xml:space="preserve">” </w:t>
      </w:r>
    </w:p>
    <w:p w:rsidR="006679D5" w:rsidRPr="008C31C6" w:rsidRDefault="006679D5" w:rsidP="006679D5">
      <w:pPr>
        <w:spacing w:after="200"/>
        <w:rPr>
          <w:b/>
          <w:lang w:val="es-ES_tradnl" w:eastAsia="es-PE"/>
        </w:rPr>
      </w:pPr>
    </w:p>
    <w:tbl>
      <w:tblPr>
        <w:tblW w:w="84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234"/>
      </w:tblGrid>
      <w:tr w:rsidR="006679D5" w:rsidRPr="008C31C6" w:rsidTr="004E0EF7">
        <w:tc>
          <w:tcPr>
            <w:tcW w:w="2193" w:type="dxa"/>
            <w:vAlign w:val="center"/>
          </w:tcPr>
          <w:p w:rsidR="006679D5" w:rsidRPr="008C31C6" w:rsidRDefault="006679D5" w:rsidP="004E0EF7">
            <w:pPr>
              <w:suppressAutoHyphens/>
              <w:jc w:val="both"/>
              <w:rPr>
                <w:lang w:val="es-ES_tradnl"/>
              </w:rPr>
            </w:pPr>
            <w:r w:rsidRPr="008C31C6">
              <w:rPr>
                <w:lang w:val="es-ES_tradnl"/>
              </w:rPr>
              <w:t>Componente 2</w:t>
            </w:r>
          </w:p>
        </w:tc>
        <w:tc>
          <w:tcPr>
            <w:tcW w:w="6234" w:type="dxa"/>
          </w:tcPr>
          <w:p w:rsidR="006679D5" w:rsidRPr="008C31C6" w:rsidRDefault="006679D5" w:rsidP="004E0EF7">
            <w:pPr>
              <w:suppressAutoHyphens/>
              <w:jc w:val="both"/>
              <w:rPr>
                <w:lang w:val="es-ES_tradnl"/>
              </w:rPr>
            </w:pPr>
            <w:r w:rsidRPr="008C31C6">
              <w:rPr>
                <w:lang w:val="es-ES_tradnl"/>
              </w:rPr>
              <w:t>Identificación de prioridades, asignación de recursos y el fortalecimiento de capacidades de los actores del SINACYT</w:t>
            </w:r>
          </w:p>
        </w:tc>
      </w:tr>
      <w:tr w:rsidR="006679D5" w:rsidRPr="008C31C6" w:rsidTr="004E0EF7">
        <w:trPr>
          <w:trHeight w:val="347"/>
        </w:trPr>
        <w:tc>
          <w:tcPr>
            <w:tcW w:w="2193" w:type="dxa"/>
          </w:tcPr>
          <w:p w:rsidR="006679D5" w:rsidRPr="008C31C6" w:rsidRDefault="006679D5" w:rsidP="004E0EF7">
            <w:pPr>
              <w:suppressAutoHyphens/>
              <w:jc w:val="both"/>
              <w:rPr>
                <w:lang w:val="es-ES_tradnl"/>
              </w:rPr>
            </w:pPr>
            <w:proofErr w:type="spellStart"/>
            <w:r w:rsidRPr="008C31C6">
              <w:rPr>
                <w:lang w:val="es-ES_tradnl"/>
              </w:rPr>
              <w:t>Sub-componente</w:t>
            </w:r>
            <w:proofErr w:type="spellEnd"/>
            <w:r w:rsidRPr="008C31C6">
              <w:rPr>
                <w:lang w:val="es-ES_tradnl"/>
              </w:rPr>
              <w:t xml:space="preserve"> 2.2</w:t>
            </w:r>
          </w:p>
        </w:tc>
        <w:tc>
          <w:tcPr>
            <w:tcW w:w="6234" w:type="dxa"/>
          </w:tcPr>
          <w:p w:rsidR="006679D5" w:rsidRPr="008C31C6" w:rsidRDefault="006679D5" w:rsidP="004E0EF7">
            <w:pPr>
              <w:suppressAutoHyphens/>
              <w:jc w:val="both"/>
              <w:rPr>
                <w:lang w:val="es-ES_tradnl"/>
              </w:rPr>
            </w:pPr>
            <w:r w:rsidRPr="008C31C6">
              <w:rPr>
                <w:lang w:val="es-ES_tradnl"/>
              </w:rPr>
              <w:t>Formulación de iniciativas para la competitividad</w:t>
            </w:r>
          </w:p>
        </w:tc>
      </w:tr>
    </w:tbl>
    <w:p w:rsidR="006679D5" w:rsidRPr="008C31C6" w:rsidRDefault="006679D5" w:rsidP="006679D5">
      <w:pPr>
        <w:spacing w:after="200"/>
        <w:rPr>
          <w:b/>
          <w:lang w:val="es-ES_tradnl" w:eastAsia="es-PE"/>
        </w:rPr>
      </w:pP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>ANTECEDENTES</w:t>
      </w:r>
    </w:p>
    <w:p w:rsidR="006679D5" w:rsidRPr="008C31C6" w:rsidRDefault="006679D5" w:rsidP="006679D5">
      <w:pPr>
        <w:pStyle w:val="Prrafodelista"/>
        <w:jc w:val="both"/>
        <w:rPr>
          <w:lang w:val="es-ES_tradnl" w:eastAsia="es-PE"/>
        </w:rPr>
      </w:pPr>
    </w:p>
    <w:p w:rsidR="006679D5" w:rsidRPr="008C31C6" w:rsidRDefault="006679D5" w:rsidP="006679D5">
      <w:pPr>
        <w:pStyle w:val="Prrafodelista"/>
        <w:ind w:left="426"/>
        <w:jc w:val="both"/>
        <w:rPr>
          <w:lang w:val="es-ES_tradnl" w:eastAsia="es-PE"/>
        </w:rPr>
      </w:pPr>
      <w:r w:rsidRPr="008C31C6">
        <w:rPr>
          <w:lang w:val="es-ES_tradnl" w:eastAsia="es-PE"/>
        </w:rPr>
        <w:t xml:space="preserve">El 08 de febrero del 2017 el Gobierno de la República del Perú firmó el contrato de préstamo BIRF 8682-PE con el Banco Internacional de Reconstrucción y Fomento (BIRF) para la ejecución del Proyecto de Mejoramiento y Ampliación del Sistema Nacional de Ciencia, Tecnología e Innovación Tecnológica-SINACYT, cuya finalidad es mejorar el desempeño del SINACYT (que implica mejor gestión, mejor priorización y asignación de recursos de CTI, mayor investigación aplicada, entre otros), con las finalidad de contribuir a las diversificación económica y competitividad del Perú, ello ayudará a reducir la vulnerabilidad del aparato productivo del Perú y finalmente lograr el desarrollo sostenible en el tiempo basado en el conocimiento. </w:t>
      </w:r>
    </w:p>
    <w:p w:rsidR="006679D5" w:rsidRPr="008C31C6" w:rsidRDefault="006679D5" w:rsidP="006679D5">
      <w:pPr>
        <w:pStyle w:val="Prrafodelista"/>
        <w:tabs>
          <w:tab w:val="left" w:pos="5736"/>
        </w:tabs>
        <w:ind w:left="426"/>
        <w:jc w:val="both"/>
        <w:rPr>
          <w:lang w:val="es-ES_tradnl" w:eastAsia="es-PE"/>
        </w:rPr>
      </w:pPr>
      <w:r w:rsidRPr="008C31C6">
        <w:rPr>
          <w:lang w:val="es-ES_tradnl" w:eastAsia="es-PE"/>
        </w:rPr>
        <w:tab/>
      </w:r>
    </w:p>
    <w:p w:rsidR="006679D5" w:rsidRPr="008C31C6" w:rsidRDefault="006679D5" w:rsidP="006679D5">
      <w:pPr>
        <w:pStyle w:val="Prrafodelista"/>
        <w:ind w:left="426"/>
        <w:jc w:val="both"/>
        <w:rPr>
          <w:lang w:val="es-ES_tradnl" w:eastAsia="es-PE"/>
        </w:rPr>
      </w:pPr>
      <w:r w:rsidRPr="008C31C6">
        <w:rPr>
          <w:lang w:val="es-ES_tradnl" w:eastAsia="es-PE"/>
        </w:rPr>
        <w:t>El Proyecto consta de los siguientes componentes:</w:t>
      </w:r>
    </w:p>
    <w:p w:rsidR="006679D5" w:rsidRPr="008C31C6" w:rsidRDefault="006679D5" w:rsidP="006679D5">
      <w:pPr>
        <w:pStyle w:val="Prrafodelista"/>
        <w:ind w:left="426"/>
        <w:jc w:val="both"/>
        <w:rPr>
          <w:lang w:val="es-ES_tradnl" w:eastAsia="es-PE"/>
        </w:rPr>
      </w:pPr>
    </w:p>
    <w:p w:rsidR="006679D5" w:rsidRPr="008C31C6" w:rsidRDefault="006679D5" w:rsidP="006679D5">
      <w:pPr>
        <w:ind w:left="426"/>
        <w:jc w:val="both"/>
        <w:rPr>
          <w:lang w:val="es-ES_tradnl"/>
        </w:rPr>
      </w:pPr>
      <w:r w:rsidRPr="008C31C6">
        <w:rPr>
          <w:u w:val="single"/>
          <w:lang w:val="es-ES_tradnl"/>
        </w:rPr>
        <w:t>Componente 1:</w:t>
      </w:r>
      <w:r w:rsidRPr="008C31C6">
        <w:rPr>
          <w:lang w:val="es-ES_tradnl"/>
        </w:rPr>
        <w:t xml:space="preserve"> Mejoramiento de la institucionalidad y gobernanza del SINACYT. El objetivo de este componente es implementar un nuevo marco normativo para le SINACYT y un nuevo plan estratégico para el desarrollo de CTI, que promueva el crecimiento sostenible a través de la diversificación productiva, mayor complejidad de la producción y el incremento de la inversión de CTI.  </w:t>
      </w:r>
    </w:p>
    <w:p w:rsidR="006679D5" w:rsidRPr="008C31C6" w:rsidRDefault="006679D5" w:rsidP="006679D5">
      <w:pPr>
        <w:ind w:left="426"/>
        <w:jc w:val="both"/>
        <w:rPr>
          <w:lang w:val="es-ES_tradnl"/>
        </w:rPr>
      </w:pPr>
      <w:r w:rsidRPr="008C31C6">
        <w:rPr>
          <w:u w:val="single"/>
          <w:lang w:val="es-ES_tradnl"/>
        </w:rPr>
        <w:t>Componente 2:</w:t>
      </w:r>
      <w:r w:rsidRPr="008C31C6">
        <w:rPr>
          <w:lang w:val="es-ES_tradnl"/>
        </w:rPr>
        <w:t xml:space="preserve"> Identificación de Prioridades, asignación de recursos y fortalecimiento de capacidades de los actores del SINACYT. El objetivo de este componente es lograr el desarrollo de nuevos y mejorados productos o servicios intensivos en conocimiento, con altas probabilidades de inserción en el mercado global. </w:t>
      </w:r>
    </w:p>
    <w:p w:rsidR="006679D5" w:rsidRPr="008C31C6" w:rsidRDefault="006679D5" w:rsidP="006679D5">
      <w:pPr>
        <w:ind w:left="426"/>
        <w:jc w:val="both"/>
        <w:rPr>
          <w:lang w:val="es-ES_tradnl"/>
        </w:rPr>
      </w:pPr>
      <w:r w:rsidRPr="008C31C6">
        <w:rPr>
          <w:u w:val="single"/>
          <w:lang w:val="es-ES_tradnl"/>
        </w:rPr>
        <w:t>Componente 3:</w:t>
      </w:r>
      <w:r w:rsidRPr="008C31C6">
        <w:rPr>
          <w:lang w:val="es-ES_tradnl"/>
        </w:rPr>
        <w:t xml:space="preserve"> Desarrollar el SINACYT a través de becas, financiamiento de equipos y proyectos de I+D+i. El objetivo de este componente es desarrollar el SINACYT facilitando los recursos necesarios para llevar a cabo investigación aplicada. </w:t>
      </w:r>
    </w:p>
    <w:p w:rsidR="006679D5" w:rsidRPr="008C31C6" w:rsidRDefault="006679D5" w:rsidP="006679D5">
      <w:pPr>
        <w:ind w:left="426"/>
        <w:jc w:val="both"/>
        <w:rPr>
          <w:lang w:val="es-ES_tradnl"/>
        </w:rPr>
      </w:pPr>
      <w:r w:rsidRPr="008C31C6">
        <w:rPr>
          <w:u w:val="single"/>
          <w:lang w:val="es-ES_tradnl"/>
        </w:rPr>
        <w:t>Componente 4:</w:t>
      </w:r>
      <w:r w:rsidRPr="008C31C6">
        <w:rPr>
          <w:lang w:val="es-ES_tradnl"/>
        </w:rPr>
        <w:t xml:space="preserve"> Gestión de Proyecto. El objetivo de este componente es fortalecer la capacidad institucional y organizativa de FONDECYT, necesaria para la implementación exitosa de las actividades apoyadas por el Proyecto, incluyendo el cumplimiento de los requisitos de adquisiciones y contrataciones, salvaguardas, gestión financiera y supervisión y evaluación. </w:t>
      </w:r>
    </w:p>
    <w:p w:rsidR="006679D5" w:rsidRPr="008C31C6" w:rsidRDefault="006679D5" w:rsidP="006679D5">
      <w:pPr>
        <w:pStyle w:val="Prrafodelista"/>
        <w:ind w:left="426"/>
        <w:jc w:val="both"/>
        <w:rPr>
          <w:lang w:val="es-ES_tradnl" w:eastAsia="es-PE"/>
        </w:rPr>
      </w:pPr>
      <w:r w:rsidRPr="008C31C6">
        <w:rPr>
          <w:lang w:val="es-ES_tradnl" w:eastAsia="es-PE"/>
        </w:rPr>
        <w:t xml:space="preserve">Para la puesta en marcha y ejecución del Proyecto, FONDECYT requiere </w:t>
      </w:r>
      <w:r>
        <w:rPr>
          <w:lang w:val="es-ES_tradnl" w:eastAsia="es-PE"/>
        </w:rPr>
        <w:t xml:space="preserve">contratar cinco </w:t>
      </w:r>
      <w:r w:rsidRPr="008C31C6">
        <w:rPr>
          <w:lang w:val="es-ES_tradnl" w:eastAsia="es-PE"/>
        </w:rPr>
        <w:t>Consultor</w:t>
      </w:r>
      <w:r>
        <w:rPr>
          <w:lang w:val="es-ES_tradnl" w:eastAsia="es-PE"/>
        </w:rPr>
        <w:t>es</w:t>
      </w:r>
      <w:r w:rsidRPr="008C31C6">
        <w:rPr>
          <w:lang w:val="es-ES_tradnl" w:eastAsia="es-PE"/>
        </w:rPr>
        <w:t xml:space="preserve"> Individual</w:t>
      </w:r>
      <w:r>
        <w:rPr>
          <w:lang w:val="es-ES_tradnl" w:eastAsia="es-PE"/>
        </w:rPr>
        <w:t>es</w:t>
      </w:r>
      <w:r w:rsidRPr="008C31C6">
        <w:rPr>
          <w:lang w:val="es-ES_tradnl" w:eastAsia="es-PE"/>
        </w:rPr>
        <w:t xml:space="preserve"> para el seguimiento de actividades de los IVAI, que </w:t>
      </w:r>
      <w:r w:rsidRPr="008C31C6">
        <w:rPr>
          <w:lang w:val="es-ES_tradnl" w:eastAsia="es-PE"/>
        </w:rPr>
        <w:lastRenderedPageBreak/>
        <w:t>se llevarán a cabo a nivel nacional, constituyendo una herramienta para lograr el cumplimiento de los objetivos institucionales.</w:t>
      </w:r>
    </w:p>
    <w:p w:rsidR="006679D5" w:rsidRPr="008C31C6" w:rsidRDefault="006679D5" w:rsidP="006679D5">
      <w:pPr>
        <w:ind w:left="720"/>
        <w:contextualSpacing/>
        <w:rPr>
          <w:lang w:val="es-ES_tradnl" w:eastAsia="es-PE"/>
        </w:rPr>
      </w:pP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>OBJETIVO DE LA CONTRATACIÓN</w:t>
      </w:r>
    </w:p>
    <w:p w:rsidR="006679D5" w:rsidRPr="008C31C6" w:rsidRDefault="006679D5" w:rsidP="006679D5">
      <w:pPr>
        <w:pStyle w:val="Prrafodelista"/>
        <w:spacing w:after="200"/>
        <w:ind w:left="426"/>
        <w:jc w:val="both"/>
        <w:rPr>
          <w:lang w:val="es-ES_tradnl"/>
        </w:rPr>
      </w:pPr>
      <w:r w:rsidRPr="008C31C6">
        <w:rPr>
          <w:lang w:val="es-ES_tradnl"/>
        </w:rPr>
        <w:t xml:space="preserve">El objetivo es </w:t>
      </w:r>
      <w:r>
        <w:rPr>
          <w:lang w:val="es-ES_tradnl"/>
        </w:rPr>
        <w:t>contratar</w:t>
      </w:r>
      <w:r w:rsidRPr="008C31C6">
        <w:rPr>
          <w:lang w:val="es-ES_tradnl"/>
        </w:rPr>
        <w:t xml:space="preserve"> consultor</w:t>
      </w:r>
      <w:r>
        <w:rPr>
          <w:lang w:val="es-ES_tradnl"/>
        </w:rPr>
        <w:t>es</w:t>
      </w:r>
      <w:r w:rsidRPr="008C31C6">
        <w:rPr>
          <w:lang w:val="es-ES_tradnl"/>
        </w:rPr>
        <w:t xml:space="preserve"> que ejecute</w:t>
      </w:r>
      <w:r>
        <w:rPr>
          <w:lang w:val="es-ES_tradnl"/>
        </w:rPr>
        <w:t>n</w:t>
      </w:r>
      <w:r w:rsidRPr="008C31C6">
        <w:rPr>
          <w:lang w:val="es-ES_tradnl"/>
        </w:rPr>
        <w:t xml:space="preserve"> cada una de las actividades detalladas en las diferentes fases</w:t>
      </w:r>
      <w:r>
        <w:rPr>
          <w:lang w:val="es-ES_tradnl"/>
        </w:rPr>
        <w:t xml:space="preserve"> de las Iniciativas de Vinculación Academia-Industria y que se asigne</w:t>
      </w:r>
      <w:r w:rsidRPr="008C31C6">
        <w:rPr>
          <w:lang w:val="es-ES_tradnl"/>
        </w:rPr>
        <w:t xml:space="preserve"> según cronograma, formular la documentación necesaria, realizar trabajo de campo, recol</w:t>
      </w:r>
      <w:r>
        <w:rPr>
          <w:lang w:val="es-ES_tradnl"/>
        </w:rPr>
        <w:t>ectar información requerida</w:t>
      </w:r>
      <w:r w:rsidRPr="008C31C6">
        <w:rPr>
          <w:lang w:val="es-ES_tradnl"/>
        </w:rPr>
        <w:t xml:space="preserve"> </w:t>
      </w:r>
      <w:r>
        <w:rPr>
          <w:lang w:val="es-ES_tradnl"/>
        </w:rPr>
        <w:t>de las</w:t>
      </w:r>
      <w:r w:rsidRPr="008C31C6">
        <w:rPr>
          <w:lang w:val="es-ES_tradnl"/>
        </w:rPr>
        <w:t xml:space="preserve"> empresas para el programa de capacitación y asistencia técnica que se va a llevar a cabo en el componente 2 a nivel nacional.</w:t>
      </w:r>
    </w:p>
    <w:p w:rsidR="006679D5" w:rsidRPr="008C31C6" w:rsidRDefault="006679D5" w:rsidP="006679D5">
      <w:pPr>
        <w:pStyle w:val="Prrafodelista"/>
        <w:spacing w:after="200"/>
        <w:jc w:val="both"/>
        <w:rPr>
          <w:lang w:val="es-ES_tradnl"/>
        </w:rPr>
      </w:pP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 xml:space="preserve">ALCANCE DEL SERVICIO </w:t>
      </w:r>
    </w:p>
    <w:p w:rsidR="006679D5" w:rsidRPr="008C31C6" w:rsidRDefault="006679D5" w:rsidP="006679D5">
      <w:pPr>
        <w:ind w:left="426"/>
        <w:jc w:val="both"/>
        <w:rPr>
          <w:lang w:val="es-ES_tradnl"/>
        </w:rPr>
      </w:pPr>
      <w:r w:rsidRPr="008C31C6">
        <w:rPr>
          <w:lang w:val="es-ES_tradnl"/>
        </w:rPr>
        <w:t xml:space="preserve">El consultor debe realizar el adecuado seguimiento de las actividades estableciendo un mecanismo de retroalimentación y aprendizaje continuo.  </w:t>
      </w:r>
    </w:p>
    <w:p w:rsidR="006679D5" w:rsidRPr="008C31C6" w:rsidRDefault="006679D5" w:rsidP="006679D5">
      <w:pPr>
        <w:ind w:left="426"/>
        <w:jc w:val="both"/>
        <w:rPr>
          <w:lang w:val="es-ES_tradnl"/>
        </w:rPr>
      </w:pPr>
      <w:r w:rsidRPr="008C31C6">
        <w:rPr>
          <w:lang w:val="es-ES_tradnl"/>
        </w:rPr>
        <w:t>La fase inicial deberá cubrir desde la identific</w:t>
      </w:r>
      <w:r>
        <w:rPr>
          <w:lang w:val="es-ES_tradnl"/>
        </w:rPr>
        <w:t>ac</w:t>
      </w:r>
      <w:r w:rsidRPr="008C31C6">
        <w:rPr>
          <w:lang w:val="es-ES_tradnl"/>
        </w:rPr>
        <w:t>ión de los desafíos de la industria en análisis, identificando factores críticos de éxito a nivel institucional y organizacional, así como el diseño.</w:t>
      </w:r>
    </w:p>
    <w:p w:rsidR="006679D5" w:rsidRDefault="006679D5" w:rsidP="006679D5">
      <w:pPr>
        <w:ind w:left="426"/>
        <w:jc w:val="both"/>
        <w:rPr>
          <w:lang w:val="es-ES_tradnl"/>
        </w:rPr>
      </w:pPr>
      <w:r w:rsidRPr="008C31C6">
        <w:rPr>
          <w:lang w:val="es-ES_tradnl"/>
        </w:rPr>
        <w:t>Mientras que, la segunda fase guías de la estrategia; el consultor deberá supervisar, preparar y coordinar con los equipos locales y se facilitar el acceso a ejemplos de mejores prácticas de otros casos internacionales, así como, coordinar el contacto con ellos y asistir a los viajes de Benchmarking</w:t>
      </w:r>
      <w:r>
        <w:rPr>
          <w:lang w:val="es-ES_tradnl"/>
        </w:rPr>
        <w:t xml:space="preserve"> (ver numeral 7)</w:t>
      </w:r>
      <w:r w:rsidRPr="008C31C6">
        <w:rPr>
          <w:lang w:val="es-ES_tradnl"/>
        </w:rPr>
        <w:t>.</w:t>
      </w:r>
    </w:p>
    <w:p w:rsidR="006679D5" w:rsidRDefault="006679D5" w:rsidP="006679D5">
      <w:pPr>
        <w:ind w:left="426"/>
        <w:jc w:val="both"/>
        <w:rPr>
          <w:lang w:val="es-ES_tradnl"/>
        </w:rPr>
      </w:pPr>
      <w:r w:rsidRPr="008C31C6">
        <w:rPr>
          <w:lang w:val="es-ES_tradnl"/>
        </w:rPr>
        <w:t xml:space="preserve">En la fase final del servicio, el consultor deberá especificar la cadena de valor en el sector y su impacto en los diferentes actores que participan en el proyecto y brindar lecciones aprendidas de la implementación de las iniciativas para la vinculación academia industria. </w:t>
      </w:r>
    </w:p>
    <w:p w:rsidR="006679D5" w:rsidRPr="008C31C6" w:rsidRDefault="006679D5" w:rsidP="006679D5">
      <w:pPr>
        <w:ind w:left="426"/>
        <w:jc w:val="both"/>
        <w:rPr>
          <w:lang w:val="es-ES_tradnl"/>
        </w:rPr>
      </w:pP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>ACTIVIDADES A REALIZAR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</w:tblGrid>
      <w:tr w:rsidR="006679D5" w:rsidRPr="008C31C6" w:rsidTr="004E0EF7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79D5" w:rsidRPr="008C31C6" w:rsidRDefault="006679D5" w:rsidP="004E0EF7">
            <w:pPr>
              <w:ind w:left="353"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CRI/IVAI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Asignación de Áreas estratégicas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Curso de entrenamiento. 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Participar en programa de capacitación y asistencia técnica.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Realizar el seguimiento a las actividades involucradas al programa.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Elaborar documentación para el programa de capacitación.</w:t>
            </w:r>
          </w:p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Apoyar con la documentación y recolección de información necesaria para llevar correctamente el programa de capacitación.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Trabajo IVAI 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Reunión Formación IVAI 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4E0EF7">
            <w:pPr>
              <w:ind w:hanging="367"/>
              <w:rPr>
                <w:color w:val="000000"/>
                <w:lang w:val="es-ES_tradnl" w:eastAsia="es-PE"/>
              </w:rPr>
            </w:pP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4E0EF7">
            <w:pPr>
              <w:ind w:firstLine="353"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Fase I Identificación de desafíos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Análisis de la industria V1 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Descripción de los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Cluster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V1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Reuniones semanales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Preparación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Kick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of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meeting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Análisis de la Industria V2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lastRenderedPageBreak/>
              <w:t>Coordinar para la elaboración del diseño y construcción WEBSITE, en coordinación con el área encargada para establecer las características.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Envió de invitaciones para Primer Meeting Publico 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Realizar el seguimiento a las invitaciones y confirmación de asistencia al meeting publico 1.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Selección de 40 empresas para entrevista en profundidad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Entrevistas a empresas 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Elaboración de perfiles (Who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is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Who)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Descripción de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cluster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V2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Segmentación Estratégica V1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Preparación Resumen para presentación en meeting 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Preparación PPT para primer meeting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Preparación Base de datos V1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Publicación en WEBSITE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4E0EF7">
            <w:pPr>
              <w:ind w:hanging="367"/>
              <w:rPr>
                <w:color w:val="000000"/>
                <w:lang w:val="es-ES_tradnl" w:eastAsia="es-PE"/>
              </w:rPr>
            </w:pPr>
          </w:p>
          <w:p w:rsidR="006679D5" w:rsidRPr="008C31C6" w:rsidRDefault="006679D5" w:rsidP="004E0EF7">
            <w:pPr>
              <w:ind w:hanging="367"/>
              <w:rPr>
                <w:color w:val="000000"/>
                <w:lang w:val="es-ES_tradnl" w:eastAsia="es-PE"/>
              </w:rPr>
            </w:pP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4E0EF7">
            <w:pPr>
              <w:ind w:firstLine="353"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Fase II: Guiando la estrategia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Elaborar el documento de estrategia - VF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Pre segmentación (industrias atractivas)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BPC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Analysis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- Entrevista a compradores internacionales y nacionales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Opciones generales y estratégicas para el futuro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Análisis KSF (Key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Success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Factor)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proofErr w:type="spellStart"/>
            <w:r w:rsidRPr="008C31C6">
              <w:rPr>
                <w:color w:val="000000"/>
                <w:lang w:val="es-ES_tradnl" w:eastAsia="es-PE"/>
              </w:rPr>
              <w:t>Benchmark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actual vs ideal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Determinar las opciones factibles para las compañías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Documento de la estrategia y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ppt</w:t>
            </w:r>
            <w:proofErr w:type="spellEnd"/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Reunión estratégica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>
              <w:rPr>
                <w:color w:val="000000"/>
                <w:lang w:val="es-ES_tradnl" w:eastAsia="es-PE"/>
              </w:rPr>
              <w:t xml:space="preserve">Elaboración del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Doc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V2 Who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is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Who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Informe para la reunión informativa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Reunión Estratégica y 2° sesión informativa (2°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ppt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>)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Organizar los viajes de referencia (documento)</w:t>
            </w:r>
          </w:p>
        </w:tc>
      </w:tr>
      <w:tr w:rsidR="006679D5" w:rsidRPr="008C31C6" w:rsidTr="004E0EF7">
        <w:trPr>
          <w:trHeight w:val="316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>
              <w:rPr>
                <w:color w:val="000000"/>
                <w:lang w:val="es-ES_tradnl" w:eastAsia="es-PE"/>
              </w:rPr>
              <w:t>Coordinar para la realización de</w:t>
            </w:r>
            <w:r w:rsidRPr="008C31C6">
              <w:rPr>
                <w:color w:val="000000"/>
                <w:lang w:val="es-ES_tradnl" w:eastAsia="es-PE"/>
              </w:rPr>
              <w:t xml:space="preserve"> la 2° reunión pública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Meeting 2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Subir a la web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Enviar cartas de agradecimiento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4E0EF7">
            <w:pPr>
              <w:ind w:firstLine="353"/>
              <w:rPr>
                <w:color w:val="000000"/>
                <w:lang w:val="es-ES_tradnl" w:eastAsia="es-PE"/>
              </w:rPr>
            </w:pP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4E0EF7">
            <w:pPr>
              <w:ind w:firstLine="353"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Fase III: Cadena de Valor</w:t>
            </w:r>
          </w:p>
        </w:tc>
      </w:tr>
      <w:tr w:rsidR="006679D5" w:rsidRPr="008C31C6" w:rsidTr="004E0EF7">
        <w:trPr>
          <w:trHeight w:val="344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Líneas de acción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doc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v1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Documento V1 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Grupos de trabajo - 1° sesión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Líneas de acción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doc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v2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Documento V2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Grupos de trabajo - 2° sesión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Líneas de acción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doc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v3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>
              <w:rPr>
                <w:color w:val="000000"/>
                <w:lang w:val="es-ES_tradnl" w:eastAsia="es-PE"/>
              </w:rPr>
              <w:lastRenderedPageBreak/>
              <w:t xml:space="preserve">Elaboración del </w:t>
            </w:r>
            <w:r w:rsidRPr="008C31C6">
              <w:rPr>
                <w:color w:val="000000"/>
                <w:lang w:val="es-ES_tradnl" w:eastAsia="es-PE"/>
              </w:rPr>
              <w:t>Documento V3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Grupos de trabajo - 3° sesión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 xml:space="preserve">Entrevistas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cluster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y expertos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>
              <w:rPr>
                <w:color w:val="000000"/>
                <w:lang w:val="es-ES_tradnl" w:eastAsia="es-PE"/>
              </w:rPr>
              <w:t xml:space="preserve">Elaboración de la </w:t>
            </w:r>
            <w:r w:rsidRPr="008C31C6">
              <w:rPr>
                <w:color w:val="000000"/>
                <w:lang w:val="es-ES_tradnl" w:eastAsia="es-PE"/>
              </w:rPr>
              <w:t xml:space="preserve">3° presentación PPT, 3° Who </w:t>
            </w:r>
            <w:proofErr w:type="spellStart"/>
            <w:r w:rsidRPr="008C31C6">
              <w:rPr>
                <w:color w:val="000000"/>
                <w:lang w:val="es-ES_tradnl" w:eastAsia="es-PE"/>
              </w:rPr>
              <w:t>is</w:t>
            </w:r>
            <w:proofErr w:type="spellEnd"/>
            <w:r w:rsidRPr="008C31C6">
              <w:rPr>
                <w:color w:val="000000"/>
                <w:lang w:val="es-ES_tradnl" w:eastAsia="es-PE"/>
              </w:rPr>
              <w:t xml:space="preserve"> Who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Resumen del Proyecto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3° sesión informativa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Realizar la 3era reunión pública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Meeting</w:t>
            </w:r>
          </w:p>
        </w:tc>
      </w:tr>
      <w:tr w:rsidR="006679D5" w:rsidRPr="008C31C6" w:rsidTr="004E0EF7">
        <w:trPr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hanging="367"/>
              <w:contextualSpacing/>
              <w:rPr>
                <w:color w:val="000000"/>
                <w:lang w:val="es-ES_tradnl" w:eastAsia="es-PE"/>
              </w:rPr>
            </w:pPr>
            <w:r w:rsidRPr="008C31C6">
              <w:rPr>
                <w:color w:val="000000"/>
                <w:lang w:val="es-ES_tradnl" w:eastAsia="es-PE"/>
              </w:rPr>
              <w:t>Subir a la web y enviar cartas</w:t>
            </w:r>
          </w:p>
        </w:tc>
      </w:tr>
    </w:tbl>
    <w:p w:rsidR="006679D5" w:rsidRDefault="006679D5" w:rsidP="006679D5">
      <w:pPr>
        <w:jc w:val="both"/>
        <w:rPr>
          <w:b/>
          <w:smallCaps/>
          <w:lang w:val="es-ES_tradnl" w:eastAsia="es-PE"/>
        </w:rPr>
      </w:pPr>
    </w:p>
    <w:p w:rsidR="006679D5" w:rsidRPr="005478A4" w:rsidRDefault="006679D5" w:rsidP="006679D5">
      <w:pPr>
        <w:pStyle w:val="EYBodytextwithparaspace"/>
        <w:ind w:left="426"/>
        <w:jc w:val="both"/>
        <w:rPr>
          <w:sz w:val="22"/>
          <w:lang w:val="es-ES_tradnl" w:eastAsia="es-PE"/>
        </w:rPr>
      </w:pPr>
      <w:r w:rsidRPr="005478A4">
        <w:rPr>
          <w:sz w:val="22"/>
          <w:lang w:val="es-ES_tradnl" w:eastAsia="es-PE"/>
        </w:rPr>
        <w:t xml:space="preserve">El consultor deberá realizar las coordinaciones correspondientes con el personal del </w:t>
      </w:r>
      <w:proofErr w:type="spellStart"/>
      <w:r w:rsidRPr="005478A4">
        <w:rPr>
          <w:sz w:val="22"/>
          <w:lang w:val="es-ES_tradnl" w:eastAsia="es-PE"/>
        </w:rPr>
        <w:t>Concytec</w:t>
      </w:r>
      <w:proofErr w:type="spellEnd"/>
      <w:r w:rsidRPr="005478A4">
        <w:rPr>
          <w:sz w:val="22"/>
          <w:lang w:val="es-ES_tradnl" w:eastAsia="es-PE"/>
        </w:rPr>
        <w:t xml:space="preserve">, asignado a cada una de las actividades de las Iniciativas de Vinculación Academia-Industria, de acuerdo a las </w:t>
      </w:r>
      <w:r>
        <w:rPr>
          <w:sz w:val="22"/>
          <w:lang w:val="es-ES_tradnl" w:eastAsia="es-PE"/>
        </w:rPr>
        <w:t>tareas determinadas para</w:t>
      </w:r>
      <w:r w:rsidRPr="005478A4">
        <w:rPr>
          <w:sz w:val="22"/>
          <w:lang w:val="es-ES_tradnl" w:eastAsia="es-PE"/>
        </w:rPr>
        <w:t xml:space="preserve"> que se lleven a cabo.</w:t>
      </w:r>
    </w:p>
    <w:p w:rsidR="006679D5" w:rsidRDefault="006679D5" w:rsidP="006679D5">
      <w:pPr>
        <w:pStyle w:val="EYBodytextwithparaspace"/>
        <w:ind w:left="426"/>
        <w:jc w:val="both"/>
        <w:rPr>
          <w:sz w:val="22"/>
          <w:lang w:val="es-ES_tradnl" w:eastAsia="es-PE"/>
        </w:rPr>
      </w:pPr>
      <w:r w:rsidRPr="005478A4">
        <w:rPr>
          <w:sz w:val="22"/>
          <w:lang w:val="es-ES_tradnl" w:eastAsia="es-PE"/>
        </w:rPr>
        <w:t>Realizara las coordinaciones logísticas neces</w:t>
      </w:r>
      <w:r>
        <w:rPr>
          <w:sz w:val="22"/>
          <w:lang w:val="es-ES_tradnl" w:eastAsia="es-PE"/>
        </w:rPr>
        <w:t xml:space="preserve">arias para asegurar el cumplimiento óptimo de las </w:t>
      </w:r>
      <w:r w:rsidRPr="005478A4">
        <w:rPr>
          <w:sz w:val="22"/>
          <w:lang w:val="es-ES_tradnl" w:eastAsia="es-PE"/>
        </w:rPr>
        <w:t>actividades del servicio de “capacitación, acompañamiento y asistencia técnica para la formulación e identificación de las iniciativas de vinculación academia industria (</w:t>
      </w:r>
      <w:r>
        <w:rPr>
          <w:sz w:val="22"/>
          <w:lang w:val="es-ES_tradnl" w:eastAsia="es-PE"/>
        </w:rPr>
        <w:t>Iniciativa d</w:t>
      </w:r>
      <w:r w:rsidRPr="005478A4">
        <w:rPr>
          <w:sz w:val="22"/>
          <w:lang w:val="es-ES_tradnl" w:eastAsia="es-PE"/>
        </w:rPr>
        <w:t>e Fortalecimiento Competitivos)”</w:t>
      </w:r>
      <w:r>
        <w:rPr>
          <w:sz w:val="22"/>
          <w:lang w:val="es-ES_tradnl" w:eastAsia="es-PE"/>
        </w:rPr>
        <w:t>.</w:t>
      </w: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ind w:left="426"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>ENTREGABLES (PRODUCTOS)</w:t>
      </w:r>
    </w:p>
    <w:p w:rsidR="006679D5" w:rsidRPr="008C31C6" w:rsidRDefault="006679D5" w:rsidP="006679D5">
      <w:pPr>
        <w:pStyle w:val="EYBodytextwithparaspace"/>
        <w:ind w:left="426"/>
        <w:jc w:val="both"/>
        <w:rPr>
          <w:sz w:val="21"/>
          <w:szCs w:val="22"/>
          <w:highlight w:val="yellow"/>
          <w:lang w:val="es-ES_tradnl" w:eastAsia="es-PE"/>
        </w:rPr>
      </w:pPr>
      <w:r w:rsidRPr="008C31C6">
        <w:rPr>
          <w:sz w:val="22"/>
          <w:lang w:val="es-ES_tradnl" w:eastAsia="es-PE"/>
        </w:rPr>
        <w:t xml:space="preserve">Durante la ejecución del presente servicio, </w:t>
      </w:r>
      <w:r w:rsidRPr="00F904C9">
        <w:rPr>
          <w:sz w:val="22"/>
          <w:lang w:val="es-ES_tradnl" w:eastAsia="es-PE"/>
        </w:rPr>
        <w:t>se espera</w:t>
      </w:r>
      <w:r w:rsidRPr="00F904C9">
        <w:rPr>
          <w:color w:val="FF0000"/>
          <w:sz w:val="22"/>
          <w:lang w:val="es-ES_tradnl" w:eastAsia="es-PE"/>
        </w:rPr>
        <w:t xml:space="preserve"> </w:t>
      </w:r>
      <w:r w:rsidRPr="008C31C6">
        <w:rPr>
          <w:sz w:val="22"/>
          <w:lang w:val="es-ES_tradnl" w:eastAsia="es-PE"/>
        </w:rPr>
        <w:t>los entregables que se detallan a continuación. cabe señalar, que cada producto entregado de acuerdo a lo descrito en la presente sección, deberá contener la documentación requerida y/o necesaria para llevar cabalmente el servicio de “capacitación, acompañamiento y asistencia técnica para la formulación e identificación de las iniciativas de vinculación academia industria (iniciativa de fortalecimiento competitivos)”.</w:t>
      </w:r>
    </w:p>
    <w:tbl>
      <w:tblPr>
        <w:tblStyle w:val="Tablaconcuadrcula"/>
        <w:tblW w:w="8258" w:type="dxa"/>
        <w:tblInd w:w="418" w:type="dxa"/>
        <w:tblLook w:val="04A0" w:firstRow="1" w:lastRow="0" w:firstColumn="1" w:lastColumn="0" w:noHBand="0" w:noVBand="1"/>
      </w:tblPr>
      <w:tblGrid>
        <w:gridCol w:w="4536"/>
        <w:gridCol w:w="1987"/>
        <w:gridCol w:w="1735"/>
      </w:tblGrid>
      <w:tr w:rsidR="006679D5" w:rsidRPr="008C31C6" w:rsidTr="004E0EF7">
        <w:trPr>
          <w:trHeight w:val="306"/>
        </w:trPr>
        <w:tc>
          <w:tcPr>
            <w:tcW w:w="4536" w:type="dxa"/>
          </w:tcPr>
          <w:p w:rsidR="006679D5" w:rsidRPr="008C31C6" w:rsidRDefault="006679D5" w:rsidP="004E0EF7">
            <w:pPr>
              <w:jc w:val="center"/>
              <w:rPr>
                <w:b/>
                <w:lang w:val="es-ES_tradnl"/>
              </w:rPr>
            </w:pPr>
            <w:r w:rsidRPr="008C31C6">
              <w:rPr>
                <w:b/>
                <w:lang w:val="es-ES_tradnl"/>
              </w:rPr>
              <w:t>Producto</w:t>
            </w:r>
          </w:p>
        </w:tc>
        <w:tc>
          <w:tcPr>
            <w:tcW w:w="1987" w:type="dxa"/>
          </w:tcPr>
          <w:p w:rsidR="006679D5" w:rsidRPr="008C31C6" w:rsidRDefault="006679D5" w:rsidP="004E0EF7">
            <w:pPr>
              <w:jc w:val="center"/>
              <w:rPr>
                <w:b/>
                <w:lang w:val="es-ES_tradnl"/>
              </w:rPr>
            </w:pPr>
            <w:r w:rsidRPr="008C31C6">
              <w:rPr>
                <w:b/>
                <w:lang w:val="es-ES_tradnl"/>
              </w:rPr>
              <w:t>Plazo</w:t>
            </w:r>
          </w:p>
        </w:tc>
        <w:tc>
          <w:tcPr>
            <w:tcW w:w="1735" w:type="dxa"/>
          </w:tcPr>
          <w:p w:rsidR="006679D5" w:rsidRPr="008C31C6" w:rsidRDefault="006679D5" w:rsidP="004E0EF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% de Pago</w:t>
            </w:r>
          </w:p>
        </w:tc>
      </w:tr>
      <w:tr w:rsidR="006679D5" w:rsidRPr="008C31C6" w:rsidTr="004E0EF7">
        <w:trPr>
          <w:trHeight w:val="334"/>
        </w:trPr>
        <w:tc>
          <w:tcPr>
            <w:tcW w:w="4536" w:type="dxa"/>
          </w:tcPr>
          <w:p w:rsidR="006679D5" w:rsidRPr="008C31C6" w:rsidRDefault="006679D5" w:rsidP="004E0EF7">
            <w:pPr>
              <w:pStyle w:val="Prrafodelista"/>
              <w:ind w:left="371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Primer Ciclo.</w:t>
            </w:r>
          </w:p>
        </w:tc>
        <w:tc>
          <w:tcPr>
            <w:tcW w:w="1987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30 – 36</w:t>
            </w:r>
            <w:r w:rsidRPr="008C31C6">
              <w:rPr>
                <w:sz w:val="21"/>
                <w:szCs w:val="21"/>
                <w:lang w:val="es-ES_tradnl"/>
              </w:rPr>
              <w:t>0 Días.</w:t>
            </w:r>
          </w:p>
        </w:tc>
        <w:tc>
          <w:tcPr>
            <w:tcW w:w="1735" w:type="dxa"/>
          </w:tcPr>
          <w:p w:rsidR="006679D5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371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Documentos correspondientes a la fase de “Identificación de desafíos”, de acuerdo al servicio de capacitación.</w:t>
            </w:r>
          </w:p>
          <w:p w:rsidR="006679D5" w:rsidRDefault="006679D5" w:rsidP="004E0EF7">
            <w:pPr>
              <w:pStyle w:val="Prrafodelista"/>
              <w:ind w:left="731"/>
              <w:rPr>
                <w:sz w:val="21"/>
                <w:szCs w:val="21"/>
                <w:lang w:val="es-ES_tradnl"/>
              </w:rPr>
            </w:pPr>
          </w:p>
          <w:p w:rsidR="006679D5" w:rsidRPr="0064799A" w:rsidRDefault="006679D5" w:rsidP="006679D5">
            <w:pPr>
              <w:pStyle w:val="Prrafodelista"/>
              <w:numPr>
                <w:ilvl w:val="0"/>
                <w:numId w:val="12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 xml:space="preserve">Propuesta </w:t>
            </w:r>
            <w:r>
              <w:rPr>
                <w:sz w:val="21"/>
                <w:szCs w:val="21"/>
                <w:lang w:val="es-ES_tradnl"/>
              </w:rPr>
              <w:t xml:space="preserve">metodológica a presentar </w:t>
            </w:r>
            <w:r w:rsidRPr="008C31C6">
              <w:rPr>
                <w:sz w:val="21"/>
                <w:szCs w:val="21"/>
                <w:lang w:val="es-ES_tradnl"/>
              </w:rPr>
              <w:t>de</w:t>
            </w:r>
            <w:r>
              <w:rPr>
                <w:sz w:val="21"/>
                <w:szCs w:val="21"/>
                <w:lang w:val="es-ES_tradnl"/>
              </w:rPr>
              <w:t xml:space="preserve"> </w:t>
            </w:r>
            <w:r w:rsidRPr="008C31C6">
              <w:rPr>
                <w:sz w:val="21"/>
                <w:szCs w:val="21"/>
                <w:lang w:val="es-ES_tradnl"/>
              </w:rPr>
              <w:t>l</w:t>
            </w:r>
            <w:r>
              <w:rPr>
                <w:sz w:val="21"/>
                <w:szCs w:val="21"/>
                <w:lang w:val="es-ES_tradnl"/>
              </w:rPr>
              <w:t>as</w:t>
            </w:r>
            <w:r w:rsidRPr="008C31C6">
              <w:rPr>
                <w:sz w:val="21"/>
                <w:szCs w:val="21"/>
                <w:lang w:val="es-ES_tradnl"/>
              </w:rPr>
              <w:t xml:space="preserve"> actividades y</w:t>
            </w:r>
            <w:r>
              <w:rPr>
                <w:sz w:val="21"/>
                <w:szCs w:val="21"/>
                <w:lang w:val="es-ES_tradnl"/>
              </w:rPr>
              <w:t xml:space="preserve"> el</w:t>
            </w:r>
            <w:r w:rsidRPr="008C31C6">
              <w:rPr>
                <w:sz w:val="21"/>
                <w:szCs w:val="21"/>
                <w:lang w:val="es-ES_tradnl"/>
              </w:rPr>
              <w:t xml:space="preserve"> cronograma </w:t>
            </w:r>
            <w:r>
              <w:rPr>
                <w:sz w:val="21"/>
                <w:szCs w:val="21"/>
                <w:lang w:val="es-ES_tradnl"/>
              </w:rPr>
              <w:t>a seguir para cumplir con la labor</w:t>
            </w:r>
            <w:r w:rsidRPr="008C31C6">
              <w:rPr>
                <w:sz w:val="21"/>
                <w:szCs w:val="21"/>
                <w:lang w:val="es-ES_tradnl"/>
              </w:rPr>
              <w:t>.</w:t>
            </w:r>
          </w:p>
          <w:p w:rsidR="006679D5" w:rsidRPr="008C31C6" w:rsidRDefault="006679D5" w:rsidP="004E0EF7">
            <w:pPr>
              <w:pStyle w:val="Prrafodelista"/>
              <w:ind w:left="371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Hasta 30 días de firmado el contrato.</w:t>
            </w:r>
          </w:p>
        </w:tc>
        <w:tc>
          <w:tcPr>
            <w:tcW w:w="1735" w:type="dxa"/>
            <w:vAlign w:val="center"/>
          </w:tcPr>
          <w:p w:rsidR="006679D5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8%</w:t>
            </w:r>
          </w:p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456" w:hanging="425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Documentos     correspondientes a la fase de “Identificación de desafíos”, de acuerdo a la recopilación de datos a nivel de empresa, clúster e industria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3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Datos cuantitativos (datos de geolocalización y datos visuales)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3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Proyecto de Línea base de beneficiarios   potenciales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3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Actualizar el software de geolocalización común V1</w:t>
            </w: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Hasta 60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8%</w:t>
            </w: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456" w:hanging="425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 xml:space="preserve">Documentos correspondientes a la fase de “Identificación de desafíos”, de </w:t>
            </w:r>
            <w:r w:rsidRPr="008C31C6">
              <w:rPr>
                <w:sz w:val="21"/>
                <w:szCs w:val="21"/>
                <w:lang w:val="es-ES_tradnl"/>
              </w:rPr>
              <w:lastRenderedPageBreak/>
              <w:t>acuerdo a la recopilación de datos a nivel de empresa, clúster e industria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4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Actualizar la información cualitativa (entrevistas personales a profundidad)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4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Actualizar el Software de Gestión de Relaciones con los clientes - GRC</w:t>
            </w: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lastRenderedPageBreak/>
              <w:t>Hasta 90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8%</w:t>
            </w: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378" w:hanging="378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Documentos correspondientes a la fase de “Identificación de desafíos”, de acuerdo a la presentación de la iniciativa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5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Informe de la Primera Reunión Pública.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5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Acta de compromiso de los participantes del sector privado</w:t>
            </w: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Hasta 120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8%</w:t>
            </w: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378" w:hanging="378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Documentos correspondientes a la fase de “Identificación de desafíos”, de acuerdo a los resultados obtenidos del Equipo Local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6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Base de datos de los agentes de la industria en un sistema de GRC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6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 Global de la Industria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6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 del País y del Clúster</w:t>
            </w:r>
          </w:p>
          <w:p w:rsidR="006679D5" w:rsidRPr="008C31C6" w:rsidRDefault="006679D5" w:rsidP="004E0EF7">
            <w:pPr>
              <w:pStyle w:val="Prrafodelista"/>
              <w:rPr>
                <w:sz w:val="21"/>
                <w:szCs w:val="21"/>
                <w:lang w:val="es-ES_tradnl"/>
              </w:rPr>
            </w:pPr>
          </w:p>
          <w:p w:rsidR="006679D5" w:rsidRPr="008C31C6" w:rsidRDefault="006679D5" w:rsidP="004E0EF7">
            <w:pPr>
              <w:pStyle w:val="Prrafodelista"/>
              <w:ind w:left="31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*Se deberá incluir las actualizaciones del software de geolocalización V2</w:t>
            </w: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Hasta 150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8%</w:t>
            </w: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456" w:hanging="425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Documentos correspondientes a la fase de “guiando la estrategia” de acuerdo al análisis de la industria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7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Análisis de datos secundarios y literatura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7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Actores potenciales para las entrevistas personales (compradores avanzados nacionales cinco (5), compradores avanzados internacionales cinco (5), competidores globales cinco (5) y actividades de referencia en otras Cadenas de Valor similares en todo el mundo, mínimo dos (2))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7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Entrevistas personales a realizar con el equipo local y la firma consultora, mínimo diez (10)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7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Informe resumen de las coordinaciones realizadas para el viaje de Benchmarking al extranjero</w:t>
            </w:r>
          </w:p>
          <w:p w:rsidR="006679D5" w:rsidRPr="008C31C6" w:rsidRDefault="006679D5" w:rsidP="004E0EF7">
            <w:pPr>
              <w:pStyle w:val="Prrafodelista"/>
              <w:ind w:left="785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Hasta 180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10%</w:t>
            </w: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456" w:hanging="425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Documentos correspondientes a la fase de “guiando la estrategia” de acuerdo a la segmentación estratégica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8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Definición de la estrategia que contenga los siguientes criterios: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9"/>
              </w:numPr>
              <w:autoSpaceDN/>
              <w:ind w:left="1024" w:hanging="142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Evolución de las concentraciones del mercado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9"/>
              </w:numPr>
              <w:autoSpaceDN/>
              <w:ind w:left="1024" w:hanging="142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 xml:space="preserve">Barreras de entrada al mercado </w:t>
            </w:r>
          </w:p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</w:p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 xml:space="preserve">*Conformado por dos (02) Grupos de trabajo de definición de estrategia (de 3 a 6), en donde se presenten opciones estratégicas </w:t>
            </w:r>
            <w:r w:rsidRPr="008C31C6">
              <w:rPr>
                <w:sz w:val="21"/>
                <w:szCs w:val="21"/>
                <w:lang w:val="es-ES_tradnl"/>
              </w:rPr>
              <w:lastRenderedPageBreak/>
              <w:t>iniciales con una muestra de actores del sector privado en cada industria.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8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Segmentación de la estrategia que contenga la identificación y análisis que represente combinaciones de: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0"/>
              </w:numPr>
              <w:autoSpaceDN/>
              <w:ind w:left="1024" w:hanging="142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Nuevos productos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0"/>
              </w:numPr>
              <w:autoSpaceDN/>
              <w:ind w:left="1024" w:hanging="142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Nuevos servicios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0"/>
              </w:numPr>
              <w:autoSpaceDN/>
              <w:ind w:left="1024" w:hanging="142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Nuevos grupos de usuario</w:t>
            </w:r>
          </w:p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</w:p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*El análisis debe estar respaldado por datos cuantitativos y cualitativos.</w:t>
            </w: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lastRenderedPageBreak/>
              <w:t>Hasta 210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8%</w:t>
            </w: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456" w:hanging="425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Documentos correspondientes a la fase de “guiando la estrategia” de acuerdo a la segmentación estratégica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8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Informe de la clasificación preliminar de los segmentos estudiados en función del atractivo para el país – cliente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8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Informe que evidencie la identificación y cuantificación de los criterios de compra para los segmentos más atractivos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8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Informe que detalle las fuentes de análisis, que contemple como mínimo tres (03) potenciales compradores internacionales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18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 resumen de las entrevistas realizadas a los potenciales compradores internacionales</w:t>
            </w: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Hasta 240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8%</w:t>
            </w: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456" w:hanging="425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Documentos correspondientes a la fase de “guiando la estrategia” de acuerdo a la segmentación estratégica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1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Propuesta de los segmentos que presenten más oportunidades para competir con pequeñas y medianas empresas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1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Propuesta del diseño de las actividades de la cadena de valor de acuerdo al segmento propuesto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1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Un Gráfico que represente todos los flujos entre las actividades, que detalle:</w:t>
            </w:r>
          </w:p>
          <w:p w:rsidR="006679D5" w:rsidRPr="008C31C6" w:rsidRDefault="006679D5" w:rsidP="006679D5">
            <w:pPr>
              <w:pStyle w:val="Prrafodelista"/>
              <w:numPr>
                <w:ilvl w:val="3"/>
                <w:numId w:val="22"/>
              </w:numPr>
              <w:autoSpaceDN/>
              <w:ind w:left="1024" w:hanging="142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La escala mínima eficiente (EME)</w:t>
            </w:r>
          </w:p>
          <w:p w:rsidR="006679D5" w:rsidRPr="008C31C6" w:rsidRDefault="006679D5" w:rsidP="006679D5">
            <w:pPr>
              <w:pStyle w:val="Prrafodelista"/>
              <w:numPr>
                <w:ilvl w:val="3"/>
                <w:numId w:val="22"/>
              </w:numPr>
              <w:autoSpaceDN/>
              <w:ind w:left="1024" w:hanging="142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La inversión requerida para cada actividad</w:t>
            </w:r>
          </w:p>
          <w:p w:rsidR="006679D5" w:rsidRPr="008C31C6" w:rsidRDefault="006679D5" w:rsidP="006679D5">
            <w:pPr>
              <w:pStyle w:val="Prrafodelista"/>
              <w:numPr>
                <w:ilvl w:val="3"/>
                <w:numId w:val="22"/>
              </w:numPr>
              <w:autoSpaceDN/>
              <w:ind w:left="1024" w:hanging="142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El tiempo máximo de entrega entre cada actividad</w:t>
            </w: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Hasta 270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8%</w:t>
            </w:r>
          </w:p>
        </w:tc>
      </w:tr>
      <w:tr w:rsidR="006679D5" w:rsidRPr="008C31C6" w:rsidTr="004E0EF7">
        <w:trPr>
          <w:trHeight w:val="57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456" w:hanging="425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Documentos correspondientes a la fase de “guiando la estrategia” de acuerdo a la segmentación estratégica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3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Identificación y diagnóstico de las actividades en el país cliente (o clúster)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3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Lista de necesidades para llevar a cabo la inversión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3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lastRenderedPageBreak/>
              <w:t>Cuantificación de la inversión para llevar la Cadena de Valor del cliente a los estándares de su competidor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3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Informe de la Segunda Reunión Pública.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3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Acta de compromiso de los participantes del sector privado</w:t>
            </w:r>
          </w:p>
          <w:p w:rsidR="006679D5" w:rsidRPr="008C31C6" w:rsidRDefault="006679D5" w:rsidP="004E0EF7">
            <w:pPr>
              <w:pStyle w:val="Prrafodelista"/>
              <w:ind w:left="520"/>
              <w:rPr>
                <w:sz w:val="21"/>
                <w:szCs w:val="21"/>
                <w:lang w:val="es-ES_tradnl"/>
              </w:rPr>
            </w:pPr>
          </w:p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*Incluir reformas regulatorias, de ser necesario.</w:t>
            </w: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lastRenderedPageBreak/>
              <w:t>Hasta 300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8%</w:t>
            </w: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456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 xml:space="preserve">Documentos correspondientes a la fase de “cadena de valor” de acuerdo a la </w:t>
            </w:r>
          </w:p>
          <w:p w:rsidR="006679D5" w:rsidRPr="008C31C6" w:rsidRDefault="006679D5" w:rsidP="004E0EF7">
            <w:pPr>
              <w:ind w:left="456"/>
              <w:rPr>
                <w:sz w:val="21"/>
                <w:szCs w:val="21"/>
                <w:u w:val="single"/>
                <w:lang w:val="es-ES_tradnl"/>
              </w:rPr>
            </w:pPr>
            <w:r w:rsidRPr="008C31C6">
              <w:rPr>
                <w:sz w:val="21"/>
                <w:szCs w:val="21"/>
                <w:u w:val="single"/>
                <w:lang w:val="es-ES_tradnl"/>
              </w:rPr>
              <w:t>Propuesta de Planes de Desarrollo de la Cadena de Valor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4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Informe de los talleres realizados (2-3 por cadena de valor/clúster)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4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Plan de gestiones comerciales específicos para desarrollar cada una de las líneas de acción</w:t>
            </w:r>
          </w:p>
          <w:p w:rsidR="006679D5" w:rsidRPr="008C31C6" w:rsidRDefault="006679D5" w:rsidP="004E0EF7">
            <w:pPr>
              <w:pStyle w:val="Prrafodelista"/>
              <w:rPr>
                <w:sz w:val="21"/>
                <w:szCs w:val="21"/>
                <w:lang w:val="es-ES_tradnl"/>
              </w:rPr>
            </w:pPr>
          </w:p>
          <w:p w:rsidR="006679D5" w:rsidRPr="008C31C6" w:rsidRDefault="006679D5" w:rsidP="004E0EF7">
            <w:pPr>
              <w:pStyle w:val="Prrafodelista"/>
              <w:ind w:left="36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*Se deberá incluir los documentos generados de los nueve (09) grupos de trabajo temáticos basados en las líneas de acción identificadas en los entregables anteriores.</w:t>
            </w:r>
          </w:p>
          <w:p w:rsidR="006679D5" w:rsidRPr="008C31C6" w:rsidRDefault="006679D5" w:rsidP="004E0EF7">
            <w:pPr>
              <w:pStyle w:val="Prrafodelista"/>
              <w:rPr>
                <w:sz w:val="21"/>
                <w:szCs w:val="21"/>
                <w:lang w:val="es-ES_tradnl"/>
              </w:rPr>
            </w:pPr>
          </w:p>
          <w:p w:rsidR="006679D5" w:rsidRPr="008C31C6" w:rsidRDefault="006679D5" w:rsidP="004E0EF7">
            <w:pPr>
              <w:rPr>
                <w:sz w:val="21"/>
                <w:szCs w:val="21"/>
                <w:u w:val="single"/>
                <w:lang w:val="es-ES_tradnl"/>
              </w:rPr>
            </w:pPr>
            <w:r w:rsidRPr="008C31C6">
              <w:rPr>
                <w:sz w:val="21"/>
                <w:szCs w:val="21"/>
                <w:u w:val="single"/>
                <w:lang w:val="es-ES_tradnl"/>
              </w:rPr>
              <w:t>Reformas de Política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4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Informe de la Tercera Reunión Pública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4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Acta de compromiso de los participantes del sector privado</w:t>
            </w:r>
          </w:p>
          <w:p w:rsidR="006679D5" w:rsidRPr="008C31C6" w:rsidRDefault="006679D5" w:rsidP="004E0EF7">
            <w:pPr>
              <w:pStyle w:val="Prrafodelista"/>
              <w:rPr>
                <w:sz w:val="21"/>
                <w:szCs w:val="21"/>
                <w:lang w:val="es-ES_tradnl"/>
              </w:rPr>
            </w:pPr>
          </w:p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*Se deberá incluir las actualizaciones del software de geolocalización.</w:t>
            </w: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Hasta 330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8%</w:t>
            </w:r>
          </w:p>
        </w:tc>
      </w:tr>
      <w:tr w:rsidR="006679D5" w:rsidRPr="008C31C6" w:rsidTr="004E0EF7">
        <w:trPr>
          <w:trHeight w:val="567"/>
        </w:trPr>
        <w:tc>
          <w:tcPr>
            <w:tcW w:w="4536" w:type="dxa"/>
          </w:tcPr>
          <w:p w:rsidR="006679D5" w:rsidRPr="008C31C6" w:rsidRDefault="006679D5" w:rsidP="006679D5">
            <w:pPr>
              <w:pStyle w:val="Prrafodelista"/>
              <w:numPr>
                <w:ilvl w:val="3"/>
                <w:numId w:val="1"/>
              </w:numPr>
              <w:autoSpaceDN/>
              <w:ind w:left="456"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 xml:space="preserve">Documentos correspondientes a la fase de “cadena de valor” de acuerdo a cada línea de acción e integrarlos en: 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5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Un (01) Plan de Inversión de la Cadena de Valor</w:t>
            </w:r>
          </w:p>
          <w:p w:rsidR="006679D5" w:rsidRPr="008C31C6" w:rsidRDefault="006679D5" w:rsidP="006679D5">
            <w:pPr>
              <w:pStyle w:val="Prrafodelista"/>
              <w:numPr>
                <w:ilvl w:val="0"/>
                <w:numId w:val="25"/>
              </w:numPr>
              <w:autoSpaceDN/>
              <w:contextualSpacing/>
              <w:jc w:val="both"/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Un (01) Propuesta de Reformas de Políticas a nivel nacional</w:t>
            </w:r>
          </w:p>
          <w:p w:rsidR="006679D5" w:rsidRPr="008C31C6" w:rsidRDefault="006679D5" w:rsidP="004E0EF7">
            <w:pPr>
              <w:pStyle w:val="Prrafodelista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1987" w:type="dxa"/>
          </w:tcPr>
          <w:p w:rsidR="006679D5" w:rsidRPr="008C31C6" w:rsidRDefault="006679D5" w:rsidP="004E0EF7">
            <w:pPr>
              <w:rPr>
                <w:sz w:val="21"/>
                <w:szCs w:val="21"/>
                <w:lang w:val="es-ES_tradnl"/>
              </w:rPr>
            </w:pPr>
            <w:r w:rsidRPr="008C31C6">
              <w:rPr>
                <w:sz w:val="21"/>
                <w:szCs w:val="21"/>
                <w:lang w:val="es-ES_tradnl"/>
              </w:rPr>
              <w:t>Hasta 360 días de firmado el contrato.</w:t>
            </w:r>
          </w:p>
        </w:tc>
        <w:tc>
          <w:tcPr>
            <w:tcW w:w="1735" w:type="dxa"/>
            <w:vAlign w:val="center"/>
          </w:tcPr>
          <w:p w:rsidR="006679D5" w:rsidRPr="008C31C6" w:rsidRDefault="006679D5" w:rsidP="004E0EF7">
            <w:pPr>
              <w:jc w:val="center"/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10%</w:t>
            </w:r>
          </w:p>
        </w:tc>
      </w:tr>
    </w:tbl>
    <w:p w:rsidR="006679D5" w:rsidRPr="008C31C6" w:rsidRDefault="006679D5" w:rsidP="006679D5">
      <w:pPr>
        <w:pStyle w:val="Prrafodelista"/>
        <w:ind w:left="360"/>
        <w:jc w:val="both"/>
        <w:rPr>
          <w:b/>
          <w:smallCaps/>
          <w:lang w:val="es-ES_tradnl" w:eastAsia="es-PE"/>
        </w:rPr>
      </w:pPr>
    </w:p>
    <w:p w:rsidR="006679D5" w:rsidRPr="008C31C6" w:rsidRDefault="006679D5" w:rsidP="006679D5">
      <w:pPr>
        <w:pStyle w:val="Prrafodelista"/>
        <w:ind w:left="360"/>
        <w:jc w:val="both"/>
        <w:rPr>
          <w:b/>
          <w:smallCaps/>
          <w:lang w:val="es-ES_tradnl" w:eastAsia="es-PE"/>
        </w:rPr>
      </w:pP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>PLAZO DE EJECUCIÓN</w:t>
      </w:r>
    </w:p>
    <w:p w:rsidR="006679D5" w:rsidRDefault="006679D5" w:rsidP="006679D5">
      <w:pPr>
        <w:ind w:left="426"/>
        <w:jc w:val="both"/>
        <w:rPr>
          <w:lang w:val="es-ES_tradnl"/>
        </w:rPr>
      </w:pPr>
      <w:r w:rsidRPr="008C31C6">
        <w:rPr>
          <w:lang w:val="es-ES_tradnl"/>
        </w:rPr>
        <w:t xml:space="preserve">El contrato tendrá una duración de </w:t>
      </w:r>
      <w:r w:rsidRPr="008862E9">
        <w:rPr>
          <w:lang w:val="es-ES_tradnl"/>
        </w:rPr>
        <w:t>trescientos sesenta (360) días</w:t>
      </w:r>
      <w:r>
        <w:rPr>
          <w:lang w:val="es-ES_tradnl"/>
        </w:rPr>
        <w:t xml:space="preserve"> calendario </w:t>
      </w:r>
      <w:r w:rsidRPr="008C31C6">
        <w:rPr>
          <w:lang w:val="es-ES_tradnl"/>
        </w:rPr>
        <w:t>a partir de la firma del contrato.</w:t>
      </w:r>
    </w:p>
    <w:p w:rsidR="006679D5" w:rsidRDefault="006679D5" w:rsidP="006679D5">
      <w:pPr>
        <w:shd w:val="clear" w:color="auto" w:fill="FFFFFF"/>
        <w:ind w:left="426" w:right="282"/>
        <w:jc w:val="both"/>
        <w:rPr>
          <w:bCs/>
          <w:szCs w:val="20"/>
          <w:shd w:val="clear" w:color="auto" w:fill="FFFFFF"/>
          <w:lang w:val="es-ES_tradnl"/>
        </w:rPr>
      </w:pPr>
      <w:r w:rsidRPr="00D70192">
        <w:rPr>
          <w:bCs/>
          <w:szCs w:val="20"/>
          <w:shd w:val="clear" w:color="auto" w:fill="FFFFFF"/>
          <w:lang w:val="es-ES_tradnl"/>
        </w:rPr>
        <w:t>El servicio brindado será a todo costo.</w:t>
      </w:r>
    </w:p>
    <w:p w:rsidR="006679D5" w:rsidRPr="00D70192" w:rsidRDefault="006679D5" w:rsidP="006679D5">
      <w:pPr>
        <w:shd w:val="clear" w:color="auto" w:fill="FFFFFF"/>
        <w:ind w:left="426" w:right="282"/>
        <w:jc w:val="both"/>
        <w:rPr>
          <w:bCs/>
          <w:sz w:val="21"/>
          <w:szCs w:val="20"/>
          <w:shd w:val="clear" w:color="auto" w:fill="FFFFFF"/>
          <w:lang w:val="es-ES_tradnl"/>
        </w:rPr>
      </w:pPr>
    </w:p>
    <w:p w:rsidR="006679D5" w:rsidRDefault="006679D5" w:rsidP="006679D5">
      <w:pPr>
        <w:jc w:val="both"/>
        <w:rPr>
          <w:bCs/>
          <w:sz w:val="20"/>
          <w:szCs w:val="20"/>
          <w:shd w:val="clear" w:color="auto" w:fill="FFFFFF"/>
          <w:lang w:val="es-ES_tradnl"/>
        </w:rPr>
      </w:pPr>
    </w:p>
    <w:p w:rsidR="006679D5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A2583">
        <w:rPr>
          <w:b/>
          <w:smallCaps/>
          <w:lang w:val="es-ES_tradnl" w:eastAsia="es-PE"/>
        </w:rPr>
        <w:t>LUGAR Y CONDICIONES DEL SERVICIO</w:t>
      </w:r>
    </w:p>
    <w:p w:rsidR="006679D5" w:rsidRPr="00EF0446" w:rsidRDefault="006679D5" w:rsidP="006679D5">
      <w:pPr>
        <w:pStyle w:val="Prrafodelista"/>
        <w:ind w:left="360"/>
        <w:jc w:val="both"/>
        <w:rPr>
          <w:lang w:val="es-ES_tradnl"/>
        </w:rPr>
      </w:pPr>
      <w:r w:rsidRPr="00EF0446">
        <w:rPr>
          <w:lang w:val="es-ES_tradnl"/>
        </w:rPr>
        <w:t>La sede del Proyecto se localiza en Lima. Los viajes requeridos por el consultor para el cumplimento de sus actividades a las zonas beneficiarias del proyecto serian asumidos por el mismo, el cual incluye tickets aéreos, pasajes terrestres, viáticos e impuestos para realizar la labor encomendada, de acuerdo a itinerario.</w:t>
      </w:r>
    </w:p>
    <w:p w:rsidR="006679D5" w:rsidRDefault="006679D5" w:rsidP="006679D5">
      <w:pPr>
        <w:jc w:val="both"/>
        <w:rPr>
          <w:b/>
          <w:smallCaps/>
          <w:lang w:val="es-ES_tradnl" w:eastAsia="es-PE"/>
        </w:rPr>
      </w:pPr>
    </w:p>
    <w:p w:rsidR="006679D5" w:rsidRPr="00EF0446" w:rsidRDefault="006679D5" w:rsidP="006679D5">
      <w:pPr>
        <w:jc w:val="both"/>
        <w:rPr>
          <w:b/>
          <w:smallCaps/>
          <w:lang w:val="es-ES_tradnl" w:eastAsia="es-PE"/>
        </w:rPr>
      </w:pPr>
    </w:p>
    <w:tbl>
      <w:tblPr>
        <w:tblpPr w:leftFromText="141" w:rightFromText="141" w:vertAnchor="text" w:horzAnchor="margin" w:tblpXSpec="center" w:tblpY="356"/>
        <w:tblW w:w="4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40"/>
        <w:gridCol w:w="900"/>
        <w:gridCol w:w="1180"/>
      </w:tblGrid>
      <w:tr w:rsidR="006679D5" w:rsidRPr="00EF0446" w:rsidTr="004E0EF7">
        <w:trPr>
          <w:trHeight w:val="4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9D5" w:rsidRPr="00EF0446" w:rsidRDefault="006679D5" w:rsidP="004E0EF7">
            <w:pPr>
              <w:rPr>
                <w:rFonts w:ascii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sz w:val="18"/>
                <w:szCs w:val="18"/>
                <w:lang w:val="es-PE" w:eastAsia="es-PE"/>
              </w:rPr>
            </w:pPr>
            <w:r w:rsidRPr="00EF0446">
              <w:rPr>
                <w:rFonts w:cs="Calibri"/>
                <w:color w:val="000000"/>
                <w:sz w:val="18"/>
                <w:szCs w:val="18"/>
                <w:lang w:val="es-PE" w:eastAsia="es-PE"/>
              </w:rPr>
              <w:t>VIAJES POR MES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sz w:val="18"/>
                <w:szCs w:val="18"/>
                <w:lang w:val="es-PE" w:eastAsia="es-PE"/>
              </w:rPr>
            </w:pPr>
            <w:r w:rsidRPr="00EF0446">
              <w:rPr>
                <w:rFonts w:cs="Calibri"/>
                <w:color w:val="000000"/>
                <w:sz w:val="18"/>
                <w:szCs w:val="18"/>
                <w:lang w:val="es-PE" w:eastAsia="es-PE"/>
              </w:rPr>
              <w:t>DIAS POR VIAJE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sz w:val="18"/>
                <w:szCs w:val="18"/>
                <w:lang w:val="es-PE" w:eastAsia="es-PE"/>
              </w:rPr>
            </w:pPr>
            <w:r w:rsidRPr="00EF0446">
              <w:rPr>
                <w:rFonts w:cs="Calibri"/>
                <w:color w:val="000000"/>
                <w:sz w:val="18"/>
                <w:szCs w:val="18"/>
                <w:lang w:val="es-PE" w:eastAsia="es-PE"/>
              </w:rPr>
              <w:t>TOTAL, DE DIAS POR MES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1 región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9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2 región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9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3 región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9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4 región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9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5 región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9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6 región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9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7 región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9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8 región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9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1 Lima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6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2 Lima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6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3 Lima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6</w:t>
            </w:r>
          </w:p>
        </w:tc>
      </w:tr>
      <w:tr w:rsidR="006679D5" w:rsidRPr="00EF0446" w:rsidTr="004E0EF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4 Lima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6</w:t>
            </w:r>
          </w:p>
        </w:tc>
      </w:tr>
      <w:tr w:rsidR="006679D5" w:rsidRPr="00EF0446" w:rsidTr="004E0EF7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rPr>
                <w:rFonts w:cs="Calibri"/>
                <w:color w:val="000000"/>
                <w:lang w:val="es-PE" w:eastAsia="es-PE"/>
              </w:rPr>
            </w:pPr>
            <w:proofErr w:type="spellStart"/>
            <w:r w:rsidRPr="00EF0446">
              <w:rPr>
                <w:rFonts w:cs="Calibri"/>
                <w:color w:val="000000"/>
                <w:lang w:val="es-PE" w:eastAsia="es-PE"/>
              </w:rPr>
              <w:t>Ivai</w:t>
            </w:r>
            <w:proofErr w:type="spellEnd"/>
            <w:r w:rsidRPr="00EF0446">
              <w:rPr>
                <w:rFonts w:cs="Calibri"/>
                <w:color w:val="000000"/>
                <w:lang w:val="es-PE" w:eastAsia="es-PE"/>
              </w:rPr>
              <w:t xml:space="preserve"> 5 Lima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6</w:t>
            </w:r>
          </w:p>
        </w:tc>
      </w:tr>
      <w:tr w:rsidR="006679D5" w:rsidRPr="00EF0446" w:rsidTr="004E0EF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39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9D5" w:rsidRPr="00EF0446" w:rsidRDefault="006679D5" w:rsidP="004E0EF7">
            <w:pPr>
              <w:jc w:val="center"/>
              <w:rPr>
                <w:rFonts w:cs="Calibri"/>
                <w:color w:val="000000"/>
                <w:lang w:val="es-PE" w:eastAsia="es-PE"/>
              </w:rPr>
            </w:pPr>
            <w:r w:rsidRPr="00EF0446">
              <w:rPr>
                <w:rFonts w:cs="Calibri"/>
                <w:color w:val="000000"/>
                <w:lang w:val="es-PE" w:eastAsia="es-PE"/>
              </w:rPr>
              <w:t>102</w:t>
            </w:r>
          </w:p>
        </w:tc>
      </w:tr>
    </w:tbl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Pr="00D70192" w:rsidRDefault="006679D5" w:rsidP="006679D5">
      <w:pPr>
        <w:ind w:left="426"/>
        <w:jc w:val="both"/>
        <w:rPr>
          <w:lang w:val="es-ES_tradnl"/>
        </w:rPr>
      </w:pPr>
    </w:p>
    <w:p w:rsidR="006679D5" w:rsidRDefault="006679D5" w:rsidP="006679D5">
      <w:pPr>
        <w:ind w:left="426"/>
        <w:jc w:val="both"/>
        <w:rPr>
          <w:lang w:val="es-ES_tradnl"/>
        </w:rPr>
      </w:pPr>
      <w:r w:rsidRPr="00362ABA">
        <w:rPr>
          <w:lang w:val="es-ES_tradnl"/>
        </w:rPr>
        <w:t>Los costos de los viajes que se realicen dentro de la ciudad de lima están estimados en la remuneración mensual</w:t>
      </w:r>
      <w:r>
        <w:rPr>
          <w:lang w:val="es-ES_tradnl"/>
        </w:rPr>
        <w:t xml:space="preserve">. Sin afectar el presupuesto establecido para las </w:t>
      </w:r>
      <w:r w:rsidRPr="00362ABA">
        <w:rPr>
          <w:lang w:val="es-ES_tradnl"/>
        </w:rPr>
        <w:t xml:space="preserve">actividades </w:t>
      </w:r>
      <w:r>
        <w:rPr>
          <w:lang w:val="es-ES_tradnl"/>
        </w:rPr>
        <w:t xml:space="preserve">que se lleven en </w:t>
      </w:r>
      <w:r w:rsidRPr="00362ABA">
        <w:rPr>
          <w:lang w:val="es-ES_tradnl"/>
        </w:rPr>
        <w:t>regiones.</w:t>
      </w:r>
      <w:bookmarkStart w:id="1" w:name="_Hlk536541699"/>
      <w:r>
        <w:rPr>
          <w:lang w:val="es-ES_tradnl"/>
        </w:rPr>
        <w:t xml:space="preserve"> </w:t>
      </w:r>
    </w:p>
    <w:p w:rsidR="006679D5" w:rsidRDefault="006679D5" w:rsidP="006679D5">
      <w:pPr>
        <w:ind w:left="426"/>
        <w:rPr>
          <w:lang w:val="es-ES_tradnl"/>
        </w:rPr>
      </w:pPr>
      <w:r w:rsidRPr="00DB0AF2">
        <w:t xml:space="preserve">Los consultores no viajarán por un periodo determinado de treinta (30) días calendario, </w:t>
      </w:r>
      <w:r>
        <w:rPr>
          <w:lang w:val="es-ES_tradnl"/>
        </w:rPr>
        <w:t>lo</w:t>
      </w:r>
      <w:r w:rsidRPr="00DB0AF2">
        <w:rPr>
          <w:lang w:val="es-ES_tradnl"/>
        </w:rPr>
        <w:t xml:space="preserve"> cual se reflejará en la remuneración mensual de los próximos viajes de acuerdo a cronograma.</w:t>
      </w:r>
      <w:r>
        <w:rPr>
          <w:lang w:val="es-ES_tradnl"/>
        </w:rPr>
        <w:t xml:space="preserve"> </w:t>
      </w:r>
    </w:p>
    <w:bookmarkEnd w:id="1"/>
    <w:p w:rsidR="006679D5" w:rsidRPr="00D70192" w:rsidRDefault="006679D5" w:rsidP="006679D5">
      <w:pPr>
        <w:ind w:left="426"/>
        <w:jc w:val="both"/>
        <w:rPr>
          <w:lang w:val="es-ES_tradnl"/>
        </w:rPr>
      </w:pPr>
      <w:r>
        <w:rPr>
          <w:lang w:val="es-ES_tradnl"/>
        </w:rPr>
        <w:t>Los</w:t>
      </w:r>
      <w:r w:rsidRPr="00D70192">
        <w:rPr>
          <w:lang w:val="es-ES_tradnl"/>
        </w:rPr>
        <w:t xml:space="preserve"> consultor</w:t>
      </w:r>
      <w:r>
        <w:rPr>
          <w:lang w:val="es-ES_tradnl"/>
        </w:rPr>
        <w:t>es</w:t>
      </w:r>
      <w:r w:rsidRPr="00D70192">
        <w:rPr>
          <w:lang w:val="es-ES_tradnl"/>
        </w:rPr>
        <w:t xml:space="preserve"> será</w:t>
      </w:r>
      <w:r>
        <w:rPr>
          <w:lang w:val="es-ES_tradnl"/>
        </w:rPr>
        <w:t>n</w:t>
      </w:r>
      <w:r w:rsidRPr="00D70192">
        <w:rPr>
          <w:lang w:val="es-ES_tradnl"/>
        </w:rPr>
        <w:t xml:space="preserve"> responsable</w:t>
      </w:r>
      <w:r>
        <w:rPr>
          <w:lang w:val="es-ES_tradnl"/>
        </w:rPr>
        <w:t>s</w:t>
      </w:r>
      <w:r w:rsidRPr="00D70192">
        <w:rPr>
          <w:lang w:val="es-ES_tradnl"/>
        </w:rPr>
        <w:t xml:space="preserve"> de mantener la reserva de la información y comunicaciones que tome conocimiento en la ejecución de la presente consultoría. Así como de cautelar la seguridad y operatividad de la documentación a que tuviera acceso o que elabore en el marco de la ejecución de la presente consultoría. </w:t>
      </w:r>
    </w:p>
    <w:p w:rsidR="006679D5" w:rsidRDefault="006679D5" w:rsidP="006679D5">
      <w:pPr>
        <w:ind w:left="426"/>
        <w:rPr>
          <w:lang w:val="es-ES_tradnl"/>
        </w:rPr>
      </w:pP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>CONFORMIDAD DEL SERVICIO Y FORMA DE PAGO</w:t>
      </w:r>
    </w:p>
    <w:p w:rsidR="006679D5" w:rsidRDefault="006679D5" w:rsidP="006679D5">
      <w:pPr>
        <w:ind w:left="426"/>
        <w:jc w:val="both"/>
        <w:rPr>
          <w:lang w:val="es-ES_tradnl"/>
        </w:rPr>
      </w:pPr>
      <w:r w:rsidRPr="00C07403">
        <w:rPr>
          <w:lang w:val="es-ES_tradnl"/>
        </w:rPr>
        <w:t xml:space="preserve">El pago se realizará en 12 armadas contra la presentación </w:t>
      </w:r>
      <w:r w:rsidRPr="008C31C6">
        <w:rPr>
          <w:lang w:val="es-ES_tradnl"/>
        </w:rPr>
        <w:t>del entregable mencionado en el numeral 5 y la conformidad de la Sub Dirección de la Innovación y Trasferencia Tecnológica.</w:t>
      </w:r>
    </w:p>
    <w:p w:rsidR="006679D5" w:rsidRDefault="006679D5" w:rsidP="006679D5">
      <w:pPr>
        <w:ind w:left="426"/>
        <w:jc w:val="both"/>
        <w:rPr>
          <w:lang w:val="es-ES_tradnl"/>
        </w:rPr>
      </w:pP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 xml:space="preserve">PERFIL DEL CONSULTOR </w:t>
      </w:r>
    </w:p>
    <w:p w:rsidR="006679D5" w:rsidRPr="008C31C6" w:rsidRDefault="006679D5" w:rsidP="006679D5">
      <w:pPr>
        <w:pStyle w:val="Prrafodelista"/>
        <w:widowControl/>
        <w:numPr>
          <w:ilvl w:val="0"/>
          <w:numId w:val="10"/>
        </w:numPr>
        <w:autoSpaceDE/>
        <w:autoSpaceDN/>
        <w:spacing w:after="160" w:line="259" w:lineRule="auto"/>
        <w:ind w:left="851"/>
        <w:contextualSpacing/>
        <w:jc w:val="both"/>
        <w:rPr>
          <w:lang w:val="es-ES_tradnl"/>
        </w:rPr>
      </w:pPr>
      <w:r w:rsidRPr="008C31C6">
        <w:rPr>
          <w:lang w:val="es-ES_tradnl"/>
        </w:rPr>
        <w:t xml:space="preserve">Contar con título </w:t>
      </w:r>
      <w:r>
        <w:rPr>
          <w:lang w:val="es-ES_tradnl"/>
        </w:rPr>
        <w:t xml:space="preserve">profesional </w:t>
      </w:r>
      <w:r w:rsidRPr="008C31C6">
        <w:rPr>
          <w:lang w:val="es-ES_tradnl"/>
        </w:rPr>
        <w:t xml:space="preserve">en </w:t>
      </w:r>
      <w:r>
        <w:rPr>
          <w:lang w:val="es-ES_tradnl"/>
        </w:rPr>
        <w:t xml:space="preserve">Biología, </w:t>
      </w:r>
      <w:r w:rsidRPr="008C31C6">
        <w:rPr>
          <w:lang w:val="es-ES_tradnl"/>
        </w:rPr>
        <w:t>Economía, Administración, Ingeniería o carreras afines.</w:t>
      </w:r>
    </w:p>
    <w:p w:rsidR="006679D5" w:rsidRPr="008C31C6" w:rsidRDefault="006679D5" w:rsidP="006679D5">
      <w:pPr>
        <w:pStyle w:val="Prrafodelista"/>
        <w:widowControl/>
        <w:numPr>
          <w:ilvl w:val="0"/>
          <w:numId w:val="10"/>
        </w:numPr>
        <w:autoSpaceDE/>
        <w:autoSpaceDN/>
        <w:spacing w:after="160" w:line="259" w:lineRule="auto"/>
        <w:ind w:left="851"/>
        <w:contextualSpacing/>
        <w:jc w:val="both"/>
        <w:rPr>
          <w:lang w:val="es-ES_tradnl"/>
        </w:rPr>
      </w:pPr>
      <w:r w:rsidRPr="008C31C6">
        <w:rPr>
          <w:lang w:val="es-ES_tradnl"/>
        </w:rPr>
        <w:t>Experiencia mínima de cinco (5) años laborando en entidades públicas o privadas.</w:t>
      </w:r>
    </w:p>
    <w:p w:rsidR="006679D5" w:rsidRPr="008C31C6" w:rsidRDefault="006679D5" w:rsidP="006679D5">
      <w:pPr>
        <w:pStyle w:val="Prrafodelista"/>
        <w:widowControl/>
        <w:numPr>
          <w:ilvl w:val="0"/>
          <w:numId w:val="10"/>
        </w:numPr>
        <w:autoSpaceDE/>
        <w:autoSpaceDN/>
        <w:spacing w:after="160" w:line="259" w:lineRule="auto"/>
        <w:ind w:left="851"/>
        <w:contextualSpacing/>
        <w:jc w:val="both"/>
        <w:rPr>
          <w:lang w:val="es-ES_tradnl"/>
        </w:rPr>
      </w:pPr>
      <w:r w:rsidRPr="008C31C6">
        <w:rPr>
          <w:lang w:val="es-ES_tradnl"/>
        </w:rPr>
        <w:t xml:space="preserve">Experiencia profesional </w:t>
      </w:r>
      <w:r>
        <w:rPr>
          <w:lang w:val="es-ES_tradnl"/>
        </w:rPr>
        <w:t>no menor a</w:t>
      </w:r>
      <w:r w:rsidRPr="008C31C6">
        <w:rPr>
          <w:lang w:val="es-ES_tradnl"/>
        </w:rPr>
        <w:t xml:space="preserve"> dos (02) años</w:t>
      </w:r>
      <w:r>
        <w:rPr>
          <w:lang w:val="es-ES_tradnl"/>
        </w:rPr>
        <w:t xml:space="preserve"> realizando cualquiera de </w:t>
      </w:r>
      <w:r w:rsidRPr="008C31C6">
        <w:rPr>
          <w:lang w:val="es-ES_tradnl"/>
        </w:rPr>
        <w:t>las siguientes funciones:</w:t>
      </w:r>
    </w:p>
    <w:p w:rsidR="006679D5" w:rsidRPr="008C31C6" w:rsidRDefault="006679D5" w:rsidP="006679D5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lang w:val="es-ES_tradnl"/>
        </w:rPr>
      </w:pPr>
      <w:r w:rsidRPr="008C31C6">
        <w:rPr>
          <w:lang w:val="es-ES_tradnl"/>
        </w:rPr>
        <w:t>Jefe.</w:t>
      </w:r>
    </w:p>
    <w:p w:rsidR="006679D5" w:rsidRPr="008C31C6" w:rsidRDefault="006679D5" w:rsidP="006679D5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lang w:val="es-ES_tradnl"/>
        </w:rPr>
      </w:pPr>
      <w:r w:rsidRPr="008C31C6">
        <w:rPr>
          <w:lang w:val="es-ES_tradnl"/>
        </w:rPr>
        <w:t>Coordinador.</w:t>
      </w:r>
    </w:p>
    <w:p w:rsidR="006679D5" w:rsidRPr="008C31C6" w:rsidRDefault="006679D5" w:rsidP="006679D5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lang w:val="es-ES_tradnl"/>
        </w:rPr>
      </w:pPr>
      <w:r w:rsidRPr="008C31C6">
        <w:rPr>
          <w:lang w:val="es-ES_tradnl"/>
        </w:rPr>
        <w:t xml:space="preserve">Gestor en proyectos de innovación con empresas, </w:t>
      </w:r>
    </w:p>
    <w:p w:rsidR="006679D5" w:rsidRPr="008C31C6" w:rsidRDefault="006679D5" w:rsidP="006679D5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lang w:val="es-ES_tradnl"/>
        </w:rPr>
      </w:pPr>
      <w:r w:rsidRPr="008C31C6">
        <w:rPr>
          <w:lang w:val="es-ES_tradnl"/>
        </w:rPr>
        <w:t xml:space="preserve">Cooperación internacional, </w:t>
      </w:r>
    </w:p>
    <w:p w:rsidR="006679D5" w:rsidRPr="008C31C6" w:rsidRDefault="006679D5" w:rsidP="006679D5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lang w:val="es-ES_tradnl"/>
        </w:rPr>
      </w:pPr>
      <w:r w:rsidRPr="008C31C6">
        <w:rPr>
          <w:lang w:val="es-ES_tradnl"/>
        </w:rPr>
        <w:t xml:space="preserve">Asistencia técnica, </w:t>
      </w:r>
    </w:p>
    <w:p w:rsidR="006679D5" w:rsidRPr="008C31C6" w:rsidRDefault="006679D5" w:rsidP="006679D5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lang w:val="es-ES_tradnl"/>
        </w:rPr>
      </w:pPr>
      <w:r w:rsidRPr="008C31C6">
        <w:rPr>
          <w:lang w:val="es-ES_tradnl"/>
        </w:rPr>
        <w:t xml:space="preserve">Multisectoriales. </w:t>
      </w:r>
    </w:p>
    <w:p w:rsidR="006679D5" w:rsidRDefault="006679D5" w:rsidP="006679D5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lang w:val="es-ES_tradnl"/>
        </w:rPr>
      </w:pPr>
      <w:r w:rsidRPr="008C31C6">
        <w:rPr>
          <w:lang w:val="es-ES_tradnl"/>
        </w:rPr>
        <w:lastRenderedPageBreak/>
        <w:t>Funciones administrativas como especialista en proyectos cofinanciados por organismos internacionales.</w:t>
      </w:r>
    </w:p>
    <w:p w:rsidR="006679D5" w:rsidRPr="008C31C6" w:rsidRDefault="006679D5" w:rsidP="006679D5">
      <w:pPr>
        <w:pStyle w:val="Prrafodelista"/>
        <w:spacing w:after="160" w:line="259" w:lineRule="auto"/>
        <w:ind w:left="1440"/>
        <w:jc w:val="both"/>
        <w:rPr>
          <w:lang w:val="es-ES_tradnl"/>
        </w:rPr>
      </w:pPr>
    </w:p>
    <w:p w:rsidR="006679D5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 xml:space="preserve">CRITERIOS DE SELECCIÓN </w:t>
      </w:r>
    </w:p>
    <w:p w:rsidR="006679D5" w:rsidRPr="008C31C6" w:rsidRDefault="006679D5" w:rsidP="006679D5">
      <w:pPr>
        <w:pStyle w:val="Prrafodelista"/>
        <w:ind w:left="360"/>
        <w:jc w:val="both"/>
        <w:rPr>
          <w:b/>
          <w:smallCaps/>
          <w:lang w:val="es-ES_tradnl" w:eastAsia="es-PE"/>
        </w:rPr>
      </w:pPr>
    </w:p>
    <w:tbl>
      <w:tblPr>
        <w:tblW w:w="9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671"/>
        <w:gridCol w:w="1387"/>
      </w:tblGrid>
      <w:tr w:rsidR="006679D5" w:rsidRPr="008C31C6" w:rsidTr="004E0EF7">
        <w:trPr>
          <w:trHeight w:val="780"/>
        </w:trPr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8C31C6" w:rsidRDefault="006679D5" w:rsidP="004E0EF7">
            <w:pPr>
              <w:jc w:val="center"/>
              <w:rPr>
                <w:rFonts w:eastAsia="Arial Unicode MS"/>
                <w:b/>
                <w:bCs/>
                <w:iCs/>
                <w:lang w:val="es-ES_tradnl"/>
              </w:rPr>
            </w:pPr>
            <w:r w:rsidRPr="008C31C6">
              <w:rPr>
                <w:b/>
                <w:bCs/>
                <w:iCs/>
                <w:lang w:val="es-ES_tradnl"/>
              </w:rPr>
              <w:t>CRITERIOS DE SELECCIÓN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8C31C6" w:rsidRDefault="006679D5" w:rsidP="004E0EF7">
            <w:pPr>
              <w:jc w:val="center"/>
              <w:rPr>
                <w:rFonts w:eastAsia="Arial Unicode MS"/>
                <w:b/>
                <w:bCs/>
                <w:iCs/>
                <w:lang w:val="es-ES_tradnl"/>
              </w:rPr>
            </w:pPr>
            <w:r w:rsidRPr="008C31C6">
              <w:rPr>
                <w:b/>
                <w:bCs/>
                <w:iCs/>
                <w:lang w:val="es-ES_tradnl"/>
              </w:rPr>
              <w:t>PUNTAJE MÁXIMO POR ÍTEM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8C31C6" w:rsidRDefault="006679D5" w:rsidP="004E0EF7">
            <w:pPr>
              <w:jc w:val="center"/>
              <w:rPr>
                <w:rFonts w:eastAsia="Arial Unicode MS"/>
                <w:b/>
                <w:bCs/>
                <w:iCs/>
                <w:lang w:val="es-ES_tradnl"/>
              </w:rPr>
            </w:pPr>
            <w:r w:rsidRPr="008C31C6">
              <w:rPr>
                <w:b/>
                <w:bCs/>
                <w:iCs/>
                <w:lang w:val="es-ES_tradnl"/>
              </w:rPr>
              <w:t>PUNTAJE TOTAL</w:t>
            </w:r>
          </w:p>
        </w:tc>
      </w:tr>
      <w:tr w:rsidR="006679D5" w:rsidRPr="008C31C6" w:rsidTr="004E0EF7">
        <w:trPr>
          <w:cantSplit/>
          <w:trHeight w:val="61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47769A" w:rsidRDefault="006679D5" w:rsidP="006679D5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rPr>
                <w:lang w:val="es-ES_tradnl"/>
              </w:rPr>
            </w:pPr>
            <w:r w:rsidRPr="008C31C6">
              <w:rPr>
                <w:lang w:val="es-ES_tradnl"/>
              </w:rPr>
              <w:t>Experiencia laboral mayor a</w:t>
            </w:r>
            <w:r>
              <w:rPr>
                <w:lang w:val="es-ES_tradnl"/>
              </w:rPr>
              <w:t xml:space="preserve"> cinco (</w:t>
            </w:r>
            <w:r w:rsidRPr="008C31C6">
              <w:rPr>
                <w:lang w:val="es-ES_tradnl"/>
              </w:rPr>
              <w:t>05</w:t>
            </w:r>
            <w:r>
              <w:rPr>
                <w:lang w:val="es-ES_tradnl"/>
              </w:rPr>
              <w:t>)</w:t>
            </w:r>
            <w:r w:rsidRPr="008C31C6">
              <w:rPr>
                <w:lang w:val="es-ES_tradnl"/>
              </w:rPr>
              <w:t xml:space="preserve"> años y hasta </w:t>
            </w:r>
            <w:r>
              <w:rPr>
                <w:lang w:val="es-ES_tradnl"/>
              </w:rPr>
              <w:t>ocho (</w:t>
            </w:r>
            <w:r w:rsidRPr="008C31C6">
              <w:rPr>
                <w:lang w:val="es-ES_tradnl"/>
              </w:rPr>
              <w:t>08</w:t>
            </w:r>
            <w:r>
              <w:rPr>
                <w:lang w:val="es-ES_tradnl"/>
              </w:rPr>
              <w:t>)</w:t>
            </w:r>
            <w:r w:rsidRPr="008C31C6">
              <w:rPr>
                <w:lang w:val="es-ES_tradnl"/>
              </w:rPr>
              <w:t xml:space="preserve"> años </w:t>
            </w:r>
            <w:r w:rsidRPr="008C31C6">
              <w:rPr>
                <w:rFonts w:eastAsiaTheme="minorHAnsi"/>
                <w:lang w:val="es-ES_tradnl"/>
              </w:rPr>
              <w:t>en el sector público y/o privado</w:t>
            </w:r>
            <w:r>
              <w:rPr>
                <w:rFonts w:eastAsiaTheme="minorHAnsi"/>
                <w:lang w:val="es-ES_tradnl"/>
              </w:rPr>
              <w:t>.</w:t>
            </w:r>
          </w:p>
          <w:p w:rsidR="006679D5" w:rsidRPr="008C31C6" w:rsidRDefault="006679D5" w:rsidP="004E0EF7">
            <w:pPr>
              <w:spacing w:line="276" w:lineRule="auto"/>
              <w:ind w:left="720"/>
              <w:contextualSpacing/>
              <w:rPr>
                <w:lang w:val="es-ES_tradnl"/>
              </w:rPr>
            </w:pPr>
            <w:r w:rsidRPr="008C31C6">
              <w:rPr>
                <w:rFonts w:eastAsiaTheme="minorHAnsi"/>
                <w:lang w:val="es-ES_tradnl"/>
              </w:rPr>
              <w:t xml:space="preserve"> </w:t>
            </w:r>
          </w:p>
          <w:p w:rsidR="006679D5" w:rsidRPr="008C31C6" w:rsidRDefault="006679D5" w:rsidP="006679D5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rPr>
                <w:lang w:val="es-ES_tradnl"/>
              </w:rPr>
            </w:pPr>
            <w:r w:rsidRPr="008C31C6">
              <w:rPr>
                <w:lang w:val="es-ES_tradnl"/>
              </w:rPr>
              <w:t xml:space="preserve">Experiencia laboral mayor a </w:t>
            </w:r>
            <w:r>
              <w:rPr>
                <w:lang w:val="es-ES_tradnl"/>
              </w:rPr>
              <w:t>ocho (</w:t>
            </w:r>
            <w:r w:rsidRPr="008C31C6">
              <w:rPr>
                <w:lang w:val="es-ES_tradnl"/>
              </w:rPr>
              <w:t>08</w:t>
            </w:r>
            <w:r>
              <w:rPr>
                <w:lang w:val="es-ES_tradnl"/>
              </w:rPr>
              <w:t>)</w:t>
            </w:r>
            <w:r w:rsidRPr="008C31C6">
              <w:rPr>
                <w:lang w:val="es-ES_tradnl"/>
              </w:rPr>
              <w:t xml:space="preserve"> años en el sector público o privado.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8C31C6" w:rsidRDefault="006679D5" w:rsidP="004E0EF7">
            <w:pPr>
              <w:jc w:val="center"/>
              <w:rPr>
                <w:lang w:val="es-ES_tradnl"/>
              </w:rPr>
            </w:pPr>
            <w:r w:rsidRPr="008C31C6">
              <w:rPr>
                <w:lang w:val="es-ES_tradnl"/>
              </w:rPr>
              <w:t>30 puntos</w:t>
            </w:r>
          </w:p>
          <w:p w:rsidR="006679D5" w:rsidRPr="008C31C6" w:rsidRDefault="006679D5" w:rsidP="004E0EF7">
            <w:pPr>
              <w:jc w:val="center"/>
              <w:rPr>
                <w:lang w:val="es-ES_tradnl"/>
              </w:rPr>
            </w:pPr>
          </w:p>
          <w:p w:rsidR="006679D5" w:rsidRPr="008C31C6" w:rsidRDefault="006679D5" w:rsidP="004E0EF7">
            <w:pPr>
              <w:jc w:val="center"/>
              <w:rPr>
                <w:lang w:val="es-ES_tradnl"/>
              </w:rPr>
            </w:pPr>
            <w:r w:rsidRPr="008C31C6">
              <w:rPr>
                <w:lang w:val="es-ES_tradnl"/>
              </w:rPr>
              <w:t>50 puntos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8C31C6" w:rsidRDefault="006679D5" w:rsidP="004E0EF7">
            <w:pPr>
              <w:jc w:val="center"/>
              <w:rPr>
                <w:lang w:val="es-ES_tradnl"/>
              </w:rPr>
            </w:pPr>
            <w:r w:rsidRPr="008C31C6">
              <w:rPr>
                <w:lang w:val="es-ES_tradnl"/>
              </w:rPr>
              <w:t>50</w:t>
            </w:r>
          </w:p>
        </w:tc>
      </w:tr>
      <w:tr w:rsidR="006679D5" w:rsidRPr="008C31C6" w:rsidTr="004E0EF7">
        <w:trPr>
          <w:cantSplit/>
          <w:trHeight w:val="1636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after="240"/>
              <w:contextualSpacing/>
              <w:rPr>
                <w:lang w:val="es-ES_tradnl"/>
              </w:rPr>
            </w:pPr>
            <w:r w:rsidRPr="008C31C6">
              <w:rPr>
                <w:lang w:val="es-ES_tradnl"/>
              </w:rPr>
              <w:t>Experien</w:t>
            </w:r>
            <w:r>
              <w:rPr>
                <w:lang w:val="es-ES_tradnl"/>
              </w:rPr>
              <w:t xml:space="preserve">cia </w:t>
            </w:r>
            <w:r w:rsidRPr="00722632">
              <w:rPr>
                <w:lang w:val="es-ES_tradnl"/>
              </w:rPr>
              <w:t>profesional</w:t>
            </w:r>
            <w:r>
              <w:rPr>
                <w:lang w:val="es-ES_tradnl"/>
              </w:rPr>
              <w:t xml:space="preserve"> no menor a dos (02</w:t>
            </w:r>
            <w:r w:rsidRPr="008C31C6">
              <w:rPr>
                <w:lang w:val="es-ES_tradnl"/>
              </w:rPr>
              <w:t>)</w:t>
            </w:r>
            <w:r>
              <w:rPr>
                <w:lang w:val="es-ES_tradnl"/>
              </w:rPr>
              <w:t xml:space="preserve"> años realizando</w:t>
            </w:r>
            <w:r w:rsidRPr="008C31C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cualquiera de las siguientes </w:t>
            </w:r>
            <w:r w:rsidRPr="008C31C6">
              <w:rPr>
                <w:lang w:val="es-ES_tradnl"/>
              </w:rPr>
              <w:t>funciones antes mencionadas.</w:t>
            </w:r>
          </w:p>
          <w:p w:rsidR="006679D5" w:rsidRPr="008C31C6" w:rsidRDefault="006679D5" w:rsidP="004E0EF7">
            <w:pPr>
              <w:pStyle w:val="Prrafodelista"/>
              <w:spacing w:after="240"/>
              <w:rPr>
                <w:lang w:val="es-ES_tradnl"/>
              </w:rPr>
            </w:pPr>
          </w:p>
          <w:p w:rsidR="006679D5" w:rsidRPr="008C31C6" w:rsidRDefault="006679D5" w:rsidP="006679D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after="240"/>
              <w:contextualSpacing/>
              <w:rPr>
                <w:lang w:val="es-ES_tradnl"/>
              </w:rPr>
            </w:pPr>
            <w:r w:rsidRPr="008C31C6">
              <w:rPr>
                <w:lang w:val="es-ES_tradnl"/>
              </w:rPr>
              <w:t>E</w:t>
            </w:r>
            <w:r>
              <w:rPr>
                <w:lang w:val="es-ES_tradnl"/>
              </w:rPr>
              <w:t>xperiencia profesional mayor a dos (02) años y hasta cuatro (04</w:t>
            </w:r>
            <w:r w:rsidRPr="008C31C6">
              <w:rPr>
                <w:lang w:val="es-ES_tradnl"/>
              </w:rPr>
              <w:t>) desempeñando</w:t>
            </w:r>
            <w:r>
              <w:rPr>
                <w:lang w:val="es-ES_tradnl"/>
              </w:rPr>
              <w:t xml:space="preserve"> cualquiera de</w:t>
            </w:r>
            <w:r w:rsidRPr="008C31C6">
              <w:rPr>
                <w:lang w:val="es-ES_tradnl"/>
              </w:rPr>
              <w:t xml:space="preserve"> las funciones antes mencionadas.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8C31C6" w:rsidRDefault="006679D5" w:rsidP="004E0EF7">
            <w:pPr>
              <w:jc w:val="center"/>
              <w:rPr>
                <w:lang w:val="es-ES_tradnl"/>
              </w:rPr>
            </w:pPr>
            <w:r w:rsidRPr="008C31C6">
              <w:rPr>
                <w:lang w:val="es-ES_tradnl"/>
              </w:rPr>
              <w:t>30 puntos</w:t>
            </w:r>
          </w:p>
          <w:p w:rsidR="006679D5" w:rsidRPr="008C31C6" w:rsidRDefault="006679D5" w:rsidP="004E0EF7">
            <w:pPr>
              <w:jc w:val="center"/>
              <w:rPr>
                <w:lang w:val="es-ES_tradnl"/>
              </w:rPr>
            </w:pPr>
          </w:p>
          <w:p w:rsidR="006679D5" w:rsidRPr="008C31C6" w:rsidRDefault="006679D5" w:rsidP="004E0EF7">
            <w:pPr>
              <w:jc w:val="center"/>
              <w:rPr>
                <w:lang w:val="es-ES_tradnl"/>
              </w:rPr>
            </w:pPr>
            <w:r w:rsidRPr="008C31C6">
              <w:rPr>
                <w:lang w:val="es-ES_tradnl"/>
              </w:rPr>
              <w:t>50 puntos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8C31C6" w:rsidRDefault="006679D5" w:rsidP="004E0EF7">
            <w:pPr>
              <w:jc w:val="center"/>
              <w:rPr>
                <w:lang w:val="es-ES_tradnl"/>
              </w:rPr>
            </w:pPr>
            <w:r w:rsidRPr="008C31C6">
              <w:rPr>
                <w:lang w:val="es-ES_tradnl"/>
              </w:rPr>
              <w:t>50</w:t>
            </w:r>
          </w:p>
        </w:tc>
      </w:tr>
      <w:tr w:rsidR="006679D5" w:rsidRPr="008C31C6" w:rsidTr="004E0EF7">
        <w:trPr>
          <w:trHeight w:val="44"/>
        </w:trPr>
        <w:tc>
          <w:tcPr>
            <w:tcW w:w="77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8C31C6" w:rsidRDefault="006679D5" w:rsidP="004E0EF7">
            <w:pPr>
              <w:jc w:val="right"/>
              <w:rPr>
                <w:lang w:val="es-ES_tradnl"/>
              </w:rPr>
            </w:pPr>
            <w:r w:rsidRPr="008C31C6">
              <w:rPr>
                <w:b/>
                <w:lang w:val="es-ES_tradnl"/>
              </w:rPr>
              <w:t>PUNTAJE TOTAL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79D5" w:rsidRPr="008C31C6" w:rsidRDefault="006679D5" w:rsidP="004E0EF7">
            <w:pPr>
              <w:jc w:val="center"/>
              <w:rPr>
                <w:lang w:val="es-ES_tradnl"/>
              </w:rPr>
            </w:pPr>
            <w:r w:rsidRPr="008C31C6">
              <w:rPr>
                <w:lang w:val="es-ES_tradnl"/>
              </w:rPr>
              <w:t>100 puntos</w:t>
            </w:r>
          </w:p>
        </w:tc>
      </w:tr>
    </w:tbl>
    <w:p w:rsidR="006679D5" w:rsidRDefault="006679D5" w:rsidP="006679D5">
      <w:pPr>
        <w:jc w:val="both"/>
        <w:rPr>
          <w:b/>
          <w:smallCaps/>
          <w:highlight w:val="yellow"/>
          <w:lang w:val="es-ES_tradnl" w:eastAsia="es-PE"/>
        </w:rPr>
      </w:pPr>
    </w:p>
    <w:p w:rsidR="006679D5" w:rsidRPr="008C31C6" w:rsidRDefault="006679D5" w:rsidP="006679D5">
      <w:pPr>
        <w:jc w:val="both"/>
        <w:rPr>
          <w:b/>
          <w:smallCaps/>
          <w:highlight w:val="yellow"/>
          <w:lang w:val="es-ES_tradnl" w:eastAsia="es-PE"/>
        </w:rPr>
      </w:pP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>SUPERVISIÓN DEL SERVICIO</w:t>
      </w:r>
    </w:p>
    <w:p w:rsidR="006679D5" w:rsidRDefault="006679D5" w:rsidP="006679D5">
      <w:pPr>
        <w:pStyle w:val="Prrafodelista"/>
        <w:ind w:left="426"/>
        <w:jc w:val="both"/>
        <w:rPr>
          <w:lang w:val="es-ES_tradnl"/>
        </w:rPr>
      </w:pPr>
      <w:r w:rsidRPr="008C31C6">
        <w:rPr>
          <w:lang w:val="es-ES_tradnl"/>
        </w:rPr>
        <w:t>El servicio estará bajo supervisión de la Sub Dirección de Innovación y Transferencia Tecnológica.</w:t>
      </w:r>
    </w:p>
    <w:p w:rsidR="006679D5" w:rsidRPr="008C31C6" w:rsidRDefault="006679D5" w:rsidP="006679D5">
      <w:pPr>
        <w:pStyle w:val="Prrafodelista"/>
        <w:ind w:left="426"/>
        <w:jc w:val="both"/>
        <w:rPr>
          <w:strike/>
          <w:lang w:val="es-ES_tradnl"/>
        </w:rPr>
      </w:pPr>
    </w:p>
    <w:p w:rsidR="006679D5" w:rsidRPr="008C31C6" w:rsidRDefault="006679D5" w:rsidP="006679D5">
      <w:pPr>
        <w:jc w:val="both"/>
        <w:rPr>
          <w:lang w:val="es-ES_tradnl"/>
        </w:rPr>
      </w:pP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>CONFIDENCIALIDAD</w:t>
      </w:r>
    </w:p>
    <w:p w:rsidR="006679D5" w:rsidRPr="008C31C6" w:rsidRDefault="006679D5" w:rsidP="006679D5">
      <w:pPr>
        <w:ind w:left="426"/>
        <w:jc w:val="both"/>
        <w:rPr>
          <w:lang w:val="es-ES_tradnl"/>
        </w:rPr>
      </w:pPr>
      <w:r w:rsidRPr="008C31C6">
        <w:rPr>
          <w:lang w:val="es-ES_tradnl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FONDECYT.</w:t>
      </w:r>
    </w:p>
    <w:p w:rsidR="006679D5" w:rsidRDefault="006679D5" w:rsidP="006679D5">
      <w:pPr>
        <w:jc w:val="both"/>
        <w:rPr>
          <w:b/>
          <w:smallCaps/>
          <w:lang w:val="es-ES_tradnl" w:eastAsia="es-PE"/>
        </w:rPr>
      </w:pPr>
    </w:p>
    <w:p w:rsidR="006679D5" w:rsidRDefault="006679D5" w:rsidP="006679D5">
      <w:pPr>
        <w:jc w:val="both"/>
        <w:rPr>
          <w:b/>
          <w:smallCaps/>
          <w:lang w:val="es-ES_tradnl" w:eastAsia="es-PE"/>
        </w:rPr>
      </w:pPr>
    </w:p>
    <w:p w:rsidR="006679D5" w:rsidRPr="008C31C6" w:rsidRDefault="006679D5" w:rsidP="006679D5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mallCaps/>
          <w:lang w:val="es-ES_tradnl" w:eastAsia="es-PE"/>
        </w:rPr>
      </w:pPr>
      <w:r w:rsidRPr="008C31C6">
        <w:rPr>
          <w:b/>
          <w:smallCaps/>
          <w:lang w:val="es-ES_tradnl" w:eastAsia="es-PE"/>
        </w:rPr>
        <w:t>CONFLICTO DE INTERES – ELEGIBILIDAD</w:t>
      </w:r>
    </w:p>
    <w:p w:rsidR="006679D5" w:rsidRPr="00442AAE" w:rsidRDefault="006679D5" w:rsidP="006679D5">
      <w:pPr>
        <w:ind w:left="426"/>
        <w:jc w:val="both"/>
        <w:rPr>
          <w:lang w:val="es-ES_tradnl"/>
        </w:rPr>
      </w:pPr>
      <w:r w:rsidRPr="00442AAE">
        <w:rPr>
          <w:lang w:val="es-ES_tradnl"/>
        </w:rPr>
        <w:t>Para efectos de la decisión de participar en el proceso de selección y/o aceptación de la contratación, los candidatos deberán tener en cuenta las causales de conflicto de interés y elegibilidad establecidas en las Normas de Selección y Contratación de Consultores con Préstamos del BIRF, Créditos de la AIF &amp; Donaciones por Prestatarios del Banco Mundial, numerales 1.9 y del 1.11 al 1.13 de Normas de enero 2011 y revisada en julio del 2014, la cual podrá ser consultada en la página Web:</w:t>
      </w:r>
    </w:p>
    <w:p w:rsidR="006679D5" w:rsidRPr="00442AAE" w:rsidRDefault="006679D5" w:rsidP="006679D5">
      <w:pPr>
        <w:ind w:left="426"/>
        <w:jc w:val="both"/>
        <w:rPr>
          <w:lang w:val="es-ES_tradnl"/>
        </w:rPr>
      </w:pPr>
      <w:r w:rsidRPr="00442AAE">
        <w:rPr>
          <w:lang w:val="es-ES_tradnl"/>
        </w:rPr>
        <w:t>http://pubdocs.worldbank.org/en/552631459190145041/ProcurementConsultantHiringGuidelinesSpanishJuly2014.pdf</w:t>
      </w:r>
    </w:p>
    <w:p w:rsidR="006679D5" w:rsidRPr="008C31C6" w:rsidRDefault="006679D5" w:rsidP="006679D5">
      <w:pPr>
        <w:ind w:left="426"/>
        <w:jc w:val="both"/>
        <w:rPr>
          <w:lang w:val="es-ES_tradnl"/>
        </w:rPr>
      </w:pPr>
    </w:p>
    <w:p w:rsidR="001F200B" w:rsidRPr="009C58B1" w:rsidRDefault="001F200B" w:rsidP="006679D5">
      <w:pPr>
        <w:spacing w:after="200"/>
        <w:jc w:val="center"/>
        <w:rPr>
          <w:sz w:val="20"/>
          <w:szCs w:val="20"/>
          <w:lang w:val="es-ES_tradnl"/>
        </w:rPr>
      </w:pPr>
    </w:p>
    <w:sectPr w:rsidR="001F200B" w:rsidRPr="009C58B1" w:rsidSect="006679D5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C6" w:rsidRDefault="00D834C6" w:rsidP="001F200B">
      <w:r>
        <w:separator/>
      </w:r>
    </w:p>
  </w:endnote>
  <w:endnote w:type="continuationSeparator" w:id="0">
    <w:p w:rsidR="00D834C6" w:rsidRDefault="00D834C6" w:rsidP="001F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0B" w:rsidRDefault="001F200B">
    <w:pPr>
      <w:pStyle w:val="Piedepgina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1B753C7D" wp14:editId="7B9E3E67">
          <wp:simplePos x="0" y="0"/>
          <wp:positionH relativeFrom="page">
            <wp:align>right</wp:align>
          </wp:positionH>
          <wp:positionV relativeFrom="paragraph">
            <wp:posOffset>-3712845</wp:posOffset>
          </wp:positionV>
          <wp:extent cx="7553325" cy="4314825"/>
          <wp:effectExtent l="0" t="0" r="952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31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C6" w:rsidRDefault="00D834C6" w:rsidP="001F200B">
      <w:r>
        <w:separator/>
      </w:r>
    </w:p>
  </w:footnote>
  <w:footnote w:type="continuationSeparator" w:id="0">
    <w:p w:rsidR="00D834C6" w:rsidRDefault="00D834C6" w:rsidP="001F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0B" w:rsidRDefault="001F200B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633C7007" wp14:editId="20A2AA8A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286625" cy="98044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67"/>
    <w:multiLevelType w:val="hybridMultilevel"/>
    <w:tmpl w:val="C07245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252E"/>
    <w:multiLevelType w:val="hybridMultilevel"/>
    <w:tmpl w:val="FAA40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DFF"/>
    <w:multiLevelType w:val="hybridMultilevel"/>
    <w:tmpl w:val="A9941B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7F92"/>
    <w:multiLevelType w:val="hybridMultilevel"/>
    <w:tmpl w:val="69A687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1EEC"/>
    <w:multiLevelType w:val="hybridMultilevel"/>
    <w:tmpl w:val="0748B386"/>
    <w:lvl w:ilvl="0" w:tplc="040A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B9D135C"/>
    <w:multiLevelType w:val="hybridMultilevel"/>
    <w:tmpl w:val="CCC2AEC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69C4"/>
    <w:multiLevelType w:val="hybridMultilevel"/>
    <w:tmpl w:val="A61E5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428B"/>
    <w:multiLevelType w:val="hybridMultilevel"/>
    <w:tmpl w:val="06D458D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2405F"/>
    <w:multiLevelType w:val="hybridMultilevel"/>
    <w:tmpl w:val="4AA2BE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5001F"/>
    <w:multiLevelType w:val="hybridMultilevel"/>
    <w:tmpl w:val="8E946C7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77DE1"/>
    <w:multiLevelType w:val="hybridMultilevel"/>
    <w:tmpl w:val="DF4C16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77887"/>
    <w:multiLevelType w:val="hybridMultilevel"/>
    <w:tmpl w:val="3A7CFE8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0D75"/>
    <w:multiLevelType w:val="multilevel"/>
    <w:tmpl w:val="03DEBD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9D34C1"/>
    <w:multiLevelType w:val="hybridMultilevel"/>
    <w:tmpl w:val="2368B068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713"/>
    <w:multiLevelType w:val="hybridMultilevel"/>
    <w:tmpl w:val="CD9A2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7B63"/>
    <w:multiLevelType w:val="hybridMultilevel"/>
    <w:tmpl w:val="461E4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02A8E"/>
    <w:multiLevelType w:val="hybridMultilevel"/>
    <w:tmpl w:val="90B62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19">
      <w:start w:val="1"/>
      <w:numFmt w:val="lowerLetter"/>
      <w:lvlText w:val="%2."/>
      <w:lvlJc w:val="left"/>
      <w:pPr>
        <w:ind w:left="3697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1B">
      <w:start w:val="1"/>
      <w:numFmt w:val="lowerRoman"/>
      <w:lvlText w:val="%4."/>
      <w:lvlJc w:val="right"/>
      <w:pPr>
        <w:ind w:left="785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582D"/>
    <w:multiLevelType w:val="hybridMultilevel"/>
    <w:tmpl w:val="20BE78C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F3989"/>
    <w:multiLevelType w:val="hybridMultilevel"/>
    <w:tmpl w:val="27565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19">
      <w:start w:val="1"/>
      <w:numFmt w:val="lowerLetter"/>
      <w:lvlText w:val="%2."/>
      <w:lvlJc w:val="left"/>
      <w:pPr>
        <w:ind w:left="3697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097B"/>
    <w:multiLevelType w:val="hybridMultilevel"/>
    <w:tmpl w:val="A642D81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37474"/>
    <w:multiLevelType w:val="hybridMultilevel"/>
    <w:tmpl w:val="887C75F8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E3260"/>
    <w:multiLevelType w:val="hybridMultilevel"/>
    <w:tmpl w:val="9106FD5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96E43"/>
    <w:multiLevelType w:val="hybridMultilevel"/>
    <w:tmpl w:val="8B14284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C310BE"/>
    <w:multiLevelType w:val="hybridMultilevel"/>
    <w:tmpl w:val="078E434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740AA"/>
    <w:multiLevelType w:val="hybridMultilevel"/>
    <w:tmpl w:val="D9F2A20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15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2"/>
  </w:num>
  <w:num w:numId="12">
    <w:abstractNumId w:val="4"/>
  </w:num>
  <w:num w:numId="13">
    <w:abstractNumId w:val="23"/>
  </w:num>
  <w:num w:numId="14">
    <w:abstractNumId w:val="11"/>
  </w:num>
  <w:num w:numId="15">
    <w:abstractNumId w:val="19"/>
  </w:num>
  <w:num w:numId="16">
    <w:abstractNumId w:val="17"/>
  </w:num>
  <w:num w:numId="17">
    <w:abstractNumId w:val="24"/>
  </w:num>
  <w:num w:numId="18">
    <w:abstractNumId w:val="5"/>
  </w:num>
  <w:num w:numId="19">
    <w:abstractNumId w:val="20"/>
  </w:num>
  <w:num w:numId="20">
    <w:abstractNumId w:val="13"/>
  </w:num>
  <w:num w:numId="21">
    <w:abstractNumId w:val="7"/>
  </w:num>
  <w:num w:numId="22">
    <w:abstractNumId w:val="16"/>
  </w:num>
  <w:num w:numId="23">
    <w:abstractNumId w:val="21"/>
  </w:num>
  <w:num w:numId="24">
    <w:abstractNumId w:val="2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24"/>
    <w:rsid w:val="0004472E"/>
    <w:rsid w:val="0005349E"/>
    <w:rsid w:val="00061487"/>
    <w:rsid w:val="000B79DE"/>
    <w:rsid w:val="000E2737"/>
    <w:rsid w:val="000E3244"/>
    <w:rsid w:val="001465E4"/>
    <w:rsid w:val="001C7C04"/>
    <w:rsid w:val="001D12C2"/>
    <w:rsid w:val="001F200B"/>
    <w:rsid w:val="00244E8A"/>
    <w:rsid w:val="002A5192"/>
    <w:rsid w:val="002A68EC"/>
    <w:rsid w:val="002A7859"/>
    <w:rsid w:val="003107A1"/>
    <w:rsid w:val="00315169"/>
    <w:rsid w:val="00334780"/>
    <w:rsid w:val="003C5C63"/>
    <w:rsid w:val="005A441C"/>
    <w:rsid w:val="005C6C37"/>
    <w:rsid w:val="005D7213"/>
    <w:rsid w:val="0063425A"/>
    <w:rsid w:val="006679D5"/>
    <w:rsid w:val="00784347"/>
    <w:rsid w:val="00796C24"/>
    <w:rsid w:val="007A4A0B"/>
    <w:rsid w:val="007B10F3"/>
    <w:rsid w:val="00803EC4"/>
    <w:rsid w:val="00833CF9"/>
    <w:rsid w:val="00846384"/>
    <w:rsid w:val="00857DF8"/>
    <w:rsid w:val="008F35AC"/>
    <w:rsid w:val="00901EF7"/>
    <w:rsid w:val="0096624A"/>
    <w:rsid w:val="009B15E7"/>
    <w:rsid w:val="009C0A48"/>
    <w:rsid w:val="009C58B1"/>
    <w:rsid w:val="009E7DBD"/>
    <w:rsid w:val="00A10206"/>
    <w:rsid w:val="00A14C52"/>
    <w:rsid w:val="00A33162"/>
    <w:rsid w:val="00A45314"/>
    <w:rsid w:val="00A70FA9"/>
    <w:rsid w:val="00A84976"/>
    <w:rsid w:val="00AE5CE8"/>
    <w:rsid w:val="00AF5CFD"/>
    <w:rsid w:val="00B30AFE"/>
    <w:rsid w:val="00BC393F"/>
    <w:rsid w:val="00C609D3"/>
    <w:rsid w:val="00C91AFF"/>
    <w:rsid w:val="00CC0FE4"/>
    <w:rsid w:val="00CD4FE4"/>
    <w:rsid w:val="00D046AE"/>
    <w:rsid w:val="00D834C6"/>
    <w:rsid w:val="00D86FD6"/>
    <w:rsid w:val="00DA0744"/>
    <w:rsid w:val="00E405AB"/>
    <w:rsid w:val="00E510AD"/>
    <w:rsid w:val="00EA03E9"/>
    <w:rsid w:val="00F40BF7"/>
    <w:rsid w:val="00F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BD078"/>
  <w15:docId w15:val="{43D3AB34-8F62-46B1-905A-39C4F7A4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52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52" w:right="207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Numbered Paragraph,Akapit z listą BS,TIT 2 IND,Capítulo,Bullets,Numbered List Paragraph,123 List Paragraph,Celula,List Paragraph (numbered (a)),Main numbered paragraph,List_Paragraph,Multilevel para_II,Bullet1,Cuadro 2-1,References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nculo">
    <w:name w:val="Hyperlink"/>
    <w:basedOn w:val="Fuentedeprrafopredeter"/>
    <w:uiPriority w:val="99"/>
    <w:unhideWhenUsed/>
    <w:rsid w:val="00A1020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9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200B"/>
    <w:pPr>
      <w:widowControl/>
      <w:autoSpaceDE/>
      <w:textAlignment w:val="baseline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umbered Paragraph Car,Akapit z listą BS Car,TIT 2 IND Car,Capítulo Car,Bullets Car,Numbered List Paragraph Car,123 List Paragraph Car,Celula Car,List Paragraph (numbered (a)) Car,Main numbered paragraph Car,List_Paragraph Car"/>
    <w:link w:val="Prrafodelista"/>
    <w:uiPriority w:val="34"/>
    <w:rsid w:val="001F200B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F20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00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2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00B"/>
    <w:rPr>
      <w:rFonts w:ascii="Arial" w:eastAsia="Arial" w:hAnsi="Arial" w:cs="Arial"/>
      <w:lang w:val="es-ES" w:eastAsia="es-ES" w:bidi="es-ES"/>
    </w:rPr>
  </w:style>
  <w:style w:type="character" w:customStyle="1" w:styleId="EYBodytextwithparaspaceChar">
    <w:name w:val="EY Body text (with para space) Char"/>
    <w:link w:val="EYBodytextwithparaspace"/>
    <w:rsid w:val="00833CF9"/>
    <w:rPr>
      <w:rFonts w:ascii="Arial" w:hAnsi="Arial" w:cs="Arial"/>
      <w:kern w:val="12"/>
      <w:sz w:val="24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qFormat/>
    <w:rsid w:val="00833CF9"/>
    <w:pPr>
      <w:widowControl/>
      <w:tabs>
        <w:tab w:val="left" w:pos="907"/>
      </w:tabs>
      <w:suppressAutoHyphens/>
      <w:autoSpaceDE/>
      <w:autoSpaceDN/>
      <w:spacing w:after="260" w:line="260" w:lineRule="atLeast"/>
    </w:pPr>
    <w:rPr>
      <w:rFonts w:eastAsiaTheme="minorHAnsi"/>
      <w:kern w:val="12"/>
      <w:sz w:val="24"/>
      <w:szCs w:val="24"/>
      <w:lang w:val="en-US" w:eastAsia="en-US" w:bidi="ar-SA"/>
    </w:rPr>
  </w:style>
  <w:style w:type="character" w:styleId="nfasisintenso">
    <w:name w:val="Intense Emphasis"/>
    <w:basedOn w:val="Fuentedeprrafopredeter"/>
    <w:uiPriority w:val="21"/>
    <w:qFormat/>
    <w:rsid w:val="00833CF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jguevara@fondecyt.gob.pe,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docs.worldbank.org/en/6911459454616485/Procurement-GuidelinesSpanishJuly1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m-mflores@fondecyt.gob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3147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Proyecto BM2</cp:lastModifiedBy>
  <cp:revision>7</cp:revision>
  <dcterms:created xsi:type="dcterms:W3CDTF">2019-04-05T06:07:00Z</dcterms:created>
  <dcterms:modified xsi:type="dcterms:W3CDTF">2019-04-10T20:27:00Z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