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4119" w14:textId="77777777" w:rsidR="00ED7041" w:rsidRPr="001263E6" w:rsidRDefault="00ED7041" w:rsidP="00ED7041">
      <w:pPr>
        <w:pStyle w:val="Ttulo1"/>
        <w:numPr>
          <w:ilvl w:val="0"/>
          <w:numId w:val="0"/>
        </w:numPr>
        <w:spacing w:before="0" w:after="0"/>
        <w:jc w:val="right"/>
        <w:rPr>
          <w:b w:val="0"/>
          <w:color w:val="auto"/>
        </w:rPr>
      </w:pPr>
      <w:bookmarkStart w:id="0" w:name="_Toc50025414"/>
      <w:r>
        <w:rPr>
          <w:color w:val="auto"/>
        </w:rPr>
        <w:t>A</w:t>
      </w:r>
      <w:r w:rsidRPr="001263E6">
        <w:rPr>
          <w:color w:val="auto"/>
        </w:rPr>
        <w:t xml:space="preserve">NEXO </w:t>
      </w:r>
      <w:r>
        <w:rPr>
          <w:color w:val="auto"/>
        </w:rPr>
        <w:t>7</w:t>
      </w:r>
      <w:bookmarkEnd w:id="0"/>
    </w:p>
    <w:p w14:paraId="7D772715" w14:textId="77777777" w:rsidR="00ED7041" w:rsidRDefault="00ED7041" w:rsidP="00ED7041">
      <w:pPr>
        <w:spacing w:line="276" w:lineRule="auto"/>
        <w:rPr>
          <w:b/>
          <w:color w:val="auto"/>
          <w:szCs w:val="22"/>
        </w:rPr>
      </w:pPr>
    </w:p>
    <w:p w14:paraId="5F234A03" w14:textId="77777777" w:rsidR="00ED7041" w:rsidRDefault="00ED7041" w:rsidP="00ED7041">
      <w:pPr>
        <w:jc w:val="center"/>
        <w:rPr>
          <w:b/>
          <w:color w:val="auto"/>
          <w:szCs w:val="22"/>
        </w:rPr>
      </w:pPr>
      <w:r>
        <w:rPr>
          <w:b/>
          <w:color w:val="auto"/>
          <w:szCs w:val="22"/>
        </w:rPr>
        <w:t>FORMATO DE CONSENTIMIENTO INFORMADO</w:t>
      </w:r>
    </w:p>
    <w:p w14:paraId="67DB38D1" w14:textId="77777777" w:rsidR="00ED7041" w:rsidRPr="00BA3424" w:rsidRDefault="00ED7041" w:rsidP="00ED7041">
      <w:pPr>
        <w:jc w:val="center"/>
      </w:pPr>
      <w:r>
        <w:t>P</w:t>
      </w:r>
      <w:r w:rsidRPr="00BA3424">
        <w:t>royectos de Aceleración de la Innovación</w:t>
      </w:r>
    </w:p>
    <w:p w14:paraId="601FA10F" w14:textId="77777777" w:rsidR="00ED7041" w:rsidRDefault="00ED7041" w:rsidP="00ED7041"/>
    <w:p w14:paraId="3872B54F" w14:textId="77777777" w:rsidR="00ED7041" w:rsidRPr="00BA3424" w:rsidRDefault="00ED7041" w:rsidP="00ED7041"/>
    <w:p w14:paraId="23A27104" w14:textId="77777777" w:rsidR="00ED7041" w:rsidRDefault="00ED7041" w:rsidP="00ED7041">
      <w:pPr>
        <w:pStyle w:val="Prrafodelista"/>
        <w:numPr>
          <w:ilvl w:val="0"/>
          <w:numId w:val="13"/>
        </w:numPr>
        <w:rPr>
          <w:b/>
          <w:bCs/>
        </w:rPr>
      </w:pPr>
      <w:r w:rsidRPr="008C0E20">
        <w:rPr>
          <w:b/>
          <w:bCs/>
        </w:rPr>
        <w:t>DESCRIPCIÓN</w:t>
      </w:r>
    </w:p>
    <w:p w14:paraId="29D66DB6" w14:textId="77777777" w:rsidR="00ED7041" w:rsidRPr="008C0E20" w:rsidRDefault="00ED7041" w:rsidP="00ED7041">
      <w:pPr>
        <w:pStyle w:val="Prrafodelista"/>
        <w:rPr>
          <w:b/>
          <w:bCs/>
        </w:rPr>
      </w:pPr>
    </w:p>
    <w:p w14:paraId="223BAEFE" w14:textId="77777777" w:rsidR="00ED7041" w:rsidRDefault="00ED7041" w:rsidP="00ED7041">
      <w:pPr>
        <w:spacing w:line="276" w:lineRule="auto"/>
        <w:rPr>
          <w:rFonts w:eastAsia="Arial"/>
          <w:lang w:val="es-MX" w:eastAsia="es-MX" w:bidi="es-MX"/>
        </w:rPr>
      </w:pPr>
      <w:r w:rsidRPr="00BA3424">
        <w:rPr>
          <w:rFonts w:eastAsia="Arial"/>
          <w:lang w:val="es-MX" w:eastAsia="es-MX" w:bidi="es-MX"/>
        </w:rPr>
        <w:t xml:space="preserve">Usted está postulando al concurso “Proyectos de Aceleración de la Innovación” que convocó </w:t>
      </w:r>
      <w:r>
        <w:rPr>
          <w:rFonts w:eastAsia="Arial"/>
          <w:lang w:val="es-MX" w:eastAsia="es-MX" w:bidi="es-MX"/>
        </w:rPr>
        <w:t>e</w:t>
      </w:r>
      <w:r w:rsidRPr="00BA3424">
        <w:rPr>
          <w:rFonts w:eastAsia="Arial"/>
          <w:lang w:val="es-MX" w:eastAsia="es-MX" w:bidi="es-MX"/>
        </w:rPr>
        <w:t xml:space="preserve">l Fondo Nacional de Desarrollo Científico, Tecnológico y de Innovación Tecnológica – FONDECYT, Unidad Ejecutora del Proyecto, en el marco del Contrato de Préstamo Nº8682-PE con del Banco Mundial. Este concurso tiene dos objetivos generales, el primero es financiar por lo menos a 100 empresas para acelerar el despegue comercial de la innovación del producto (bien o servicio), proceso o modelo de negocio, implementados por empresas o emprendimientos locales preferentemente a partir de actividades de investigación y desarrollo; y el segundo es realizar una evaluación de impacto </w:t>
      </w:r>
      <w:r>
        <w:rPr>
          <w:rFonts w:eastAsia="Arial"/>
          <w:lang w:val="es-MX" w:eastAsia="es-MX" w:bidi="es-MX"/>
        </w:rPr>
        <w:t xml:space="preserve">econométricamente rigurosa, </w:t>
      </w:r>
      <w:bookmarkStart w:id="1" w:name="_Hlk49941980"/>
      <w:r>
        <w:rPr>
          <w:rFonts w:eastAsia="Arial"/>
          <w:lang w:val="es-MX" w:eastAsia="es-MX" w:bidi="es-MX"/>
        </w:rPr>
        <w:t xml:space="preserve">la cual </w:t>
      </w:r>
      <w:r w:rsidRPr="00BA3424">
        <w:rPr>
          <w:rFonts w:eastAsia="Arial"/>
          <w:lang w:val="es-MX" w:eastAsia="es-MX" w:bidi="es-MX"/>
        </w:rPr>
        <w:t xml:space="preserve">tiene como finalidad contar con información relevante para la formulación y mejora de políticas y programas públicos para beneficio de las empresas o instituciones que desarrollen innovación.  </w:t>
      </w:r>
      <w:bookmarkEnd w:id="1"/>
    </w:p>
    <w:p w14:paraId="66B511E0" w14:textId="77777777" w:rsidR="00ED7041" w:rsidRPr="00BA3424" w:rsidRDefault="00ED7041" w:rsidP="00ED7041">
      <w:pPr>
        <w:spacing w:line="276" w:lineRule="auto"/>
        <w:rPr>
          <w:rFonts w:eastAsia="Arial"/>
          <w:lang w:val="es-MX" w:eastAsia="es-MX" w:bidi="es-MX"/>
        </w:rPr>
      </w:pPr>
    </w:p>
    <w:p w14:paraId="4B7BA2C7" w14:textId="77777777" w:rsidR="00ED7041" w:rsidRPr="00BA3424" w:rsidRDefault="00ED7041" w:rsidP="00ED7041">
      <w:pPr>
        <w:spacing w:line="276" w:lineRule="auto"/>
        <w:rPr>
          <w:rFonts w:eastAsia="Arial"/>
          <w:lang w:val="es-MX" w:eastAsia="es-MX" w:bidi="es-MX"/>
        </w:rPr>
      </w:pPr>
      <w:bookmarkStart w:id="2" w:name="_Hlk49942498"/>
      <w:r w:rsidRPr="00BA3424">
        <w:rPr>
          <w:rFonts w:eastAsia="Arial"/>
          <w:lang w:val="es-MX" w:eastAsia="es-MX" w:bidi="es-MX"/>
        </w:rPr>
        <w:t>La evaluación de impacto consiste en evaluar el progreso de las empresas</w:t>
      </w:r>
      <w:r>
        <w:rPr>
          <w:rFonts w:eastAsia="Arial"/>
          <w:lang w:val="es-MX" w:eastAsia="es-MX" w:bidi="es-MX"/>
        </w:rPr>
        <w:t>/emprendedores</w:t>
      </w:r>
      <w:r w:rsidRPr="00BA3424">
        <w:rPr>
          <w:rFonts w:eastAsia="Arial"/>
          <w:lang w:val="es-MX" w:eastAsia="es-MX" w:bidi="es-MX"/>
        </w:rPr>
        <w:t xml:space="preserve"> durante y después de la ejecución del proyecto con respecto a aspectos comerciales, financieros, de bienes y propiedades, empleados, entre otros aspectos</w:t>
      </w:r>
      <w:r>
        <w:rPr>
          <w:rFonts w:eastAsia="Arial"/>
          <w:lang w:val="es-MX" w:eastAsia="es-MX" w:bidi="es-MX"/>
        </w:rPr>
        <w:t xml:space="preserve">. </w:t>
      </w:r>
      <w:r w:rsidRPr="00BA3424">
        <w:rPr>
          <w:rFonts w:eastAsia="Arial"/>
          <w:lang w:val="es-MX" w:eastAsia="es-MX" w:bidi="es-MX"/>
        </w:rPr>
        <w:t xml:space="preserve">Para garantizar </w:t>
      </w:r>
      <w:r>
        <w:rPr>
          <w:rFonts w:eastAsia="Arial"/>
          <w:lang w:val="es-MX" w:eastAsia="es-MX" w:bidi="es-MX"/>
        </w:rPr>
        <w:t>citada e</w:t>
      </w:r>
      <w:r w:rsidRPr="00BA3424">
        <w:rPr>
          <w:rFonts w:eastAsia="Arial"/>
          <w:lang w:val="es-MX" w:eastAsia="es-MX" w:bidi="es-MX"/>
        </w:rPr>
        <w:t xml:space="preserve">valuación, el concurso tuvo como objetivo alcanzar después del proceso de evaluación un mínimo de 200 empresas postulantes aprobadas. </w:t>
      </w:r>
    </w:p>
    <w:bookmarkEnd w:id="2"/>
    <w:p w14:paraId="6120956A" w14:textId="77777777" w:rsidR="00ED7041" w:rsidRDefault="00ED7041" w:rsidP="00ED7041">
      <w:pPr>
        <w:spacing w:line="276" w:lineRule="auto"/>
        <w:rPr>
          <w:rFonts w:eastAsia="Arial"/>
          <w:lang w:val="es-MX" w:eastAsia="es-MX" w:bidi="es-MX"/>
        </w:rPr>
      </w:pPr>
      <w:r w:rsidRPr="00BA3424">
        <w:rPr>
          <w:rFonts w:eastAsia="Arial"/>
          <w:lang w:val="es-MX" w:eastAsia="es-MX" w:bidi="es-MX"/>
        </w:rPr>
        <w:t xml:space="preserve">Este número esperado de postulaciones aprobadas responde al diseño de la metodología de evaluación de impacto que incluye </w:t>
      </w:r>
      <w:r>
        <w:rPr>
          <w:rFonts w:eastAsia="Arial"/>
          <w:lang w:val="es-MX" w:eastAsia="es-MX" w:bidi="es-MX"/>
        </w:rPr>
        <w:t xml:space="preserve">contar con un grupo experimental, conformado por </w:t>
      </w:r>
      <w:r w:rsidRPr="00BA3424">
        <w:rPr>
          <w:rFonts w:eastAsia="Arial"/>
          <w:lang w:val="es-MX" w:eastAsia="es-MX" w:bidi="es-MX"/>
        </w:rPr>
        <w:t xml:space="preserve">grupo de tratamiento (100 empresas) y </w:t>
      </w:r>
      <w:r>
        <w:rPr>
          <w:rFonts w:eastAsia="Arial"/>
          <w:lang w:val="es-MX" w:eastAsia="es-MX" w:bidi="es-MX"/>
        </w:rPr>
        <w:t xml:space="preserve">un </w:t>
      </w:r>
      <w:r w:rsidRPr="00BA3424">
        <w:rPr>
          <w:rFonts w:eastAsia="Arial"/>
          <w:lang w:val="es-MX" w:eastAsia="es-MX" w:bidi="es-MX"/>
        </w:rPr>
        <w:t xml:space="preserve">grupo de control (100 empresas), así como </w:t>
      </w:r>
      <w:r>
        <w:rPr>
          <w:rFonts w:eastAsia="Arial"/>
          <w:lang w:val="es-MX" w:eastAsia="es-MX" w:bidi="es-MX"/>
        </w:rPr>
        <w:t>de un grupo de accesitarios.</w:t>
      </w:r>
    </w:p>
    <w:p w14:paraId="3A10FDA4" w14:textId="77777777" w:rsidR="00ED7041" w:rsidRDefault="00ED7041" w:rsidP="00ED7041">
      <w:pPr>
        <w:spacing w:line="276" w:lineRule="auto"/>
        <w:rPr>
          <w:rFonts w:eastAsia="Arial"/>
          <w:lang w:val="es-MX" w:eastAsia="es-MX" w:bidi="es-MX"/>
        </w:rPr>
      </w:pPr>
    </w:p>
    <w:p w14:paraId="38DF5944" w14:textId="77777777" w:rsidR="00ED7041" w:rsidRDefault="00ED7041" w:rsidP="00ED7041">
      <w:pPr>
        <w:pStyle w:val="Prrafodelista"/>
        <w:numPr>
          <w:ilvl w:val="0"/>
          <w:numId w:val="13"/>
        </w:numPr>
        <w:spacing w:line="276" w:lineRule="auto"/>
        <w:rPr>
          <w:rFonts w:eastAsia="Arial"/>
          <w:b/>
          <w:bCs/>
          <w:lang w:val="es-MX" w:eastAsia="es-MX" w:bidi="es-MX"/>
        </w:rPr>
      </w:pPr>
      <w:r w:rsidRPr="00BA3424">
        <w:rPr>
          <w:rFonts w:eastAsia="Arial"/>
          <w:b/>
          <w:bCs/>
          <w:lang w:val="es-MX" w:eastAsia="es-MX" w:bidi="es-MX"/>
        </w:rPr>
        <w:t>PROCEDIMIENTO DE SELECCIÓN</w:t>
      </w:r>
      <w:r>
        <w:rPr>
          <w:rFonts w:eastAsia="Arial"/>
          <w:b/>
          <w:bCs/>
          <w:lang w:val="es-MX" w:eastAsia="es-MX" w:bidi="es-MX"/>
        </w:rPr>
        <w:t xml:space="preserve"> Y CONFORMACIÓN DE GRUPOS</w:t>
      </w:r>
    </w:p>
    <w:p w14:paraId="6B7053A0" w14:textId="77777777" w:rsidR="00ED7041" w:rsidRPr="00BA3424" w:rsidRDefault="00ED7041" w:rsidP="00ED7041">
      <w:pPr>
        <w:pStyle w:val="Prrafodelista"/>
        <w:spacing w:line="276" w:lineRule="auto"/>
        <w:rPr>
          <w:rFonts w:eastAsia="Arial"/>
          <w:b/>
          <w:bCs/>
          <w:lang w:val="es-MX" w:eastAsia="es-MX" w:bidi="es-MX"/>
        </w:rPr>
      </w:pPr>
    </w:p>
    <w:p w14:paraId="4F451DBB" w14:textId="77777777" w:rsidR="00ED7041" w:rsidRPr="00BA3424" w:rsidRDefault="00ED7041" w:rsidP="00ED704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BA3424">
        <w:rPr>
          <w:color w:val="auto"/>
          <w:sz w:val="22"/>
          <w:szCs w:val="22"/>
        </w:rPr>
        <w:t xml:space="preserve">Las empresas pasarán un proceso de </w:t>
      </w:r>
      <w:r>
        <w:rPr>
          <w:color w:val="auto"/>
          <w:sz w:val="22"/>
          <w:szCs w:val="22"/>
        </w:rPr>
        <w:t xml:space="preserve">elegibilidad y </w:t>
      </w:r>
      <w:r w:rsidRPr="00BA3424">
        <w:rPr>
          <w:color w:val="auto"/>
          <w:sz w:val="22"/>
          <w:szCs w:val="22"/>
        </w:rPr>
        <w:t>evaluación tal como se indica en las bases del concurso</w:t>
      </w:r>
      <w:r>
        <w:rPr>
          <w:color w:val="auto"/>
          <w:sz w:val="22"/>
          <w:szCs w:val="22"/>
        </w:rPr>
        <w:t>. C</w:t>
      </w:r>
      <w:r w:rsidRPr="00BA3424">
        <w:rPr>
          <w:color w:val="auto"/>
          <w:sz w:val="22"/>
          <w:szCs w:val="22"/>
        </w:rPr>
        <w:t xml:space="preserve">on los resultados finales se clasificarán en dos categorías preseleccionadas y no preseleccionadas. Las propuestas preseleccionadas pasaran a la etapa de selección, la que se realizará a través de un proceso de aleatorización estratificada. </w:t>
      </w:r>
    </w:p>
    <w:p w14:paraId="29926B79" w14:textId="77777777" w:rsidR="00ED7041" w:rsidRPr="00BA3424" w:rsidRDefault="00ED7041" w:rsidP="00ED704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131C0F1" w14:textId="77777777" w:rsidR="00ED7041" w:rsidRPr="00BA3424" w:rsidRDefault="00ED7041" w:rsidP="00ED704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BA3424">
        <w:rPr>
          <w:color w:val="auto"/>
          <w:sz w:val="22"/>
          <w:szCs w:val="22"/>
        </w:rPr>
        <w:t xml:space="preserve">Estas empresas se asignarán al azar en dos grupos de estudio, </w:t>
      </w:r>
      <w:r w:rsidRPr="00BA3424">
        <w:rPr>
          <w:color w:val="auto"/>
          <w:sz w:val="22"/>
          <w:szCs w:val="22"/>
          <w:lang w:val="es-419"/>
        </w:rPr>
        <w:t xml:space="preserve">uno denominado </w:t>
      </w:r>
      <w:r w:rsidRPr="00BA3424">
        <w:rPr>
          <w:color w:val="auto"/>
          <w:sz w:val="22"/>
          <w:szCs w:val="22"/>
        </w:rPr>
        <w:t xml:space="preserve">experimental </w:t>
      </w:r>
      <w:r>
        <w:rPr>
          <w:color w:val="auto"/>
          <w:sz w:val="22"/>
          <w:szCs w:val="22"/>
        </w:rPr>
        <w:t xml:space="preserve">(conformado por el grupo de tratamiento y el grupo de control) </w:t>
      </w:r>
      <w:r w:rsidRPr="00BA3424">
        <w:rPr>
          <w:color w:val="auto"/>
          <w:sz w:val="22"/>
          <w:szCs w:val="22"/>
        </w:rPr>
        <w:t xml:space="preserve">y el otro grupo de accesitarios, </w:t>
      </w:r>
      <w:proofErr w:type="gramStart"/>
      <w:r w:rsidRPr="00BA3424">
        <w:rPr>
          <w:color w:val="auto"/>
          <w:sz w:val="22"/>
          <w:szCs w:val="22"/>
        </w:rPr>
        <w:t>de acuerdo a</w:t>
      </w:r>
      <w:proofErr w:type="gramEnd"/>
      <w:r w:rsidRPr="00BA3424">
        <w:rPr>
          <w:color w:val="auto"/>
          <w:sz w:val="22"/>
          <w:szCs w:val="22"/>
        </w:rPr>
        <w:t xml:space="preserve"> la siguiente proporción: 45% de las empresas seleccionadas se asignarán al grupo de tratamiento; 45% de las empresas seleccionadas, al grupo de control; y 10% de las empresas seleccionadas, al grupo de accesitarios. Es decir, como resultado de esta etapa las empresas formarán parte de cualquiera de los grupos</w:t>
      </w:r>
      <w:r>
        <w:rPr>
          <w:color w:val="auto"/>
          <w:sz w:val="22"/>
          <w:szCs w:val="22"/>
        </w:rPr>
        <w:t xml:space="preserve"> descritos</w:t>
      </w:r>
      <w:r w:rsidRPr="00BA3424">
        <w:rPr>
          <w:color w:val="auto"/>
          <w:sz w:val="22"/>
          <w:szCs w:val="22"/>
        </w:rPr>
        <w:t>.</w:t>
      </w:r>
    </w:p>
    <w:p w14:paraId="1CC3E267" w14:textId="77777777" w:rsidR="00ED7041" w:rsidRPr="00BA3424" w:rsidRDefault="00ED7041" w:rsidP="00ED704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1D13ED8" w14:textId="77777777" w:rsidR="00ED7041" w:rsidRPr="00BA3424" w:rsidRDefault="00ED7041" w:rsidP="00ED7041">
      <w:pPr>
        <w:pStyle w:val="Default"/>
        <w:spacing w:line="276" w:lineRule="auto"/>
        <w:jc w:val="both"/>
        <w:rPr>
          <w:sz w:val="22"/>
          <w:szCs w:val="22"/>
        </w:rPr>
      </w:pPr>
      <w:r w:rsidRPr="00BA3424">
        <w:rPr>
          <w:sz w:val="22"/>
          <w:szCs w:val="22"/>
        </w:rPr>
        <w:t xml:space="preserve">El código de la aleatorización estratificada final se ejecutará utilizando el software Stata con el valor inicial establecido en la fecha actual de </w:t>
      </w:r>
      <w:r>
        <w:rPr>
          <w:sz w:val="22"/>
          <w:szCs w:val="22"/>
        </w:rPr>
        <w:t>seis</w:t>
      </w:r>
      <w:r w:rsidRPr="00BA3424">
        <w:rPr>
          <w:sz w:val="22"/>
          <w:szCs w:val="22"/>
        </w:rPr>
        <w:t xml:space="preserve"> dígitos (</w:t>
      </w:r>
      <w:proofErr w:type="spellStart"/>
      <w:r w:rsidRPr="00BA3424">
        <w:rPr>
          <w:sz w:val="22"/>
          <w:szCs w:val="22"/>
        </w:rPr>
        <w:t>aaaamm</w:t>
      </w:r>
      <w:proofErr w:type="spellEnd"/>
      <w:r w:rsidRPr="00BA3424">
        <w:rPr>
          <w:sz w:val="22"/>
          <w:szCs w:val="22"/>
        </w:rPr>
        <w:t>). Tras la aleatorización y los controles de balance, el equipo conjunto de CONCYTEC-</w:t>
      </w:r>
      <w:r w:rsidRPr="00BA3424">
        <w:rPr>
          <w:sz w:val="22"/>
          <w:szCs w:val="22"/>
        </w:rPr>
        <w:lastRenderedPageBreak/>
        <w:t>FONDECYT-WBG proporcionará la lista de las empresas que se han asignado al 'grupo de tratamiento' (incluidos sus identificadores únicos '</w:t>
      </w:r>
      <w:proofErr w:type="spellStart"/>
      <w:r w:rsidRPr="00BA3424">
        <w:rPr>
          <w:sz w:val="22"/>
          <w:szCs w:val="22"/>
        </w:rPr>
        <w:t>entrep_id</w:t>
      </w:r>
      <w:proofErr w:type="spellEnd"/>
      <w:r w:rsidRPr="00BA3424">
        <w:rPr>
          <w:sz w:val="22"/>
          <w:szCs w:val="22"/>
        </w:rPr>
        <w:t xml:space="preserve">'), las empresas asignadas al 'grupo de control', además de las empresas asignadas al grupo de accesitarios. </w:t>
      </w:r>
      <w:proofErr w:type="gramStart"/>
      <w:r w:rsidRPr="00BA3424">
        <w:rPr>
          <w:sz w:val="22"/>
          <w:szCs w:val="22"/>
        </w:rPr>
        <w:t>En caso que</w:t>
      </w:r>
      <w:proofErr w:type="gramEnd"/>
      <w:r w:rsidRPr="00BA3424">
        <w:rPr>
          <w:sz w:val="22"/>
          <w:szCs w:val="22"/>
        </w:rPr>
        <w:t xml:space="preserve"> alguna de las empresas del grupo de tratamiento desista de su participación, el equipo conjunto de CONCYTEC-FONDECYT-WBG preparara un nuevo código de aleatorización para definir a las empresas accesitarias que serán invitadas a participar al programa como beneficiarias.</w:t>
      </w:r>
    </w:p>
    <w:p w14:paraId="7364AB7F" w14:textId="77777777" w:rsidR="00ED7041" w:rsidRPr="00BA3424" w:rsidRDefault="00ED7041" w:rsidP="00ED704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8142ED4" w14:textId="77777777" w:rsidR="00ED7041" w:rsidRDefault="00ED7041" w:rsidP="00ED7041">
      <w:pPr>
        <w:spacing w:line="276" w:lineRule="auto"/>
      </w:pPr>
      <w:r w:rsidRPr="00BA3424">
        <w:t>Todas las empresas del grupo de tratamiento y del grupo de control deben responder a un cuestionario inicial</w:t>
      </w:r>
      <w:r>
        <w:t>, previo al proceso de selección aleatorio,</w:t>
      </w:r>
      <w:r w:rsidRPr="00BA3424">
        <w:t xml:space="preserve"> para levantar la información necesaria para la línea de base de </w:t>
      </w:r>
      <w:r>
        <w:t xml:space="preserve">la </w:t>
      </w:r>
      <w:r w:rsidRPr="00BA3424">
        <w:t xml:space="preserve">evaluación de impacto. Ello para, por ejemplo, medir el rendimiento de la empresa antes de la intervención, como también cualquier característica de negocio y de gestión relevante. Adicionalmente, las empresas tendrán que responder a otros cuestionarios de seguimiento adicionales para poder evaluar el impacto del programa.  </w:t>
      </w:r>
    </w:p>
    <w:p w14:paraId="3955796C" w14:textId="77777777" w:rsidR="00ED7041" w:rsidRPr="00BA3424" w:rsidRDefault="00ED7041" w:rsidP="00ED7041">
      <w:pPr>
        <w:spacing w:line="276" w:lineRule="auto"/>
      </w:pPr>
    </w:p>
    <w:p w14:paraId="1F1FE832" w14:textId="77777777" w:rsidR="00ED7041" w:rsidRPr="00BA3424" w:rsidRDefault="00ED7041" w:rsidP="00ED7041">
      <w:pPr>
        <w:spacing w:line="276" w:lineRule="auto"/>
        <w:rPr>
          <w:u w:val="single"/>
        </w:rPr>
      </w:pPr>
      <w:r w:rsidRPr="00BA3424">
        <w:t>La línea de base, que será realizada a través de una encuesta en línea, permitirá que CONCYTEC-FONDECYT y el Banco Mundial cumplan con dos pasos cruciales para la evaluación de impacto. Primero, proporcionará una visión instantánea de la situación de las empresas y empresarios antes de participar en el programa. En segundo lugar, permitirá un paso adicional de igualación o estratificación de empresas en función de sus características antes de implementar el siguiente paso, que incluye un proceso justo, transparente y equitativo de asignación de empresas a los diferentes apoyos que ofrece el programa para evaluar rigurosamente su efectividad.</w:t>
      </w:r>
    </w:p>
    <w:p w14:paraId="261B9657" w14:textId="77777777" w:rsidR="00ED7041" w:rsidRDefault="00ED7041" w:rsidP="00ED7041">
      <w:pPr>
        <w:pStyle w:val="Default"/>
        <w:spacing w:after="32" w:line="276" w:lineRule="auto"/>
        <w:jc w:val="both"/>
        <w:rPr>
          <w:color w:val="auto"/>
          <w:sz w:val="22"/>
          <w:szCs w:val="22"/>
          <w:u w:val="single"/>
        </w:rPr>
      </w:pPr>
    </w:p>
    <w:p w14:paraId="0B6348B9" w14:textId="77777777" w:rsidR="00ED7041" w:rsidRPr="00BA3424" w:rsidRDefault="00ED7041" w:rsidP="00ED7041">
      <w:pPr>
        <w:pStyle w:val="Default"/>
        <w:spacing w:after="32" w:line="276" w:lineRule="auto"/>
        <w:jc w:val="both"/>
        <w:rPr>
          <w:color w:val="auto"/>
          <w:sz w:val="22"/>
          <w:szCs w:val="22"/>
          <w:u w:val="single"/>
        </w:rPr>
      </w:pPr>
      <w:r w:rsidRPr="00BA3424">
        <w:rPr>
          <w:color w:val="auto"/>
          <w:sz w:val="22"/>
          <w:szCs w:val="22"/>
          <w:u w:val="single"/>
        </w:rPr>
        <w:t>Grupos de estudio</w:t>
      </w:r>
    </w:p>
    <w:p w14:paraId="7AE98EC3" w14:textId="77777777" w:rsidR="00ED7041" w:rsidRPr="00BA3424" w:rsidRDefault="00ED7041" w:rsidP="00ED7041">
      <w:pPr>
        <w:pStyle w:val="Default"/>
        <w:spacing w:after="32" w:line="276" w:lineRule="auto"/>
        <w:jc w:val="both"/>
        <w:rPr>
          <w:color w:val="auto"/>
          <w:sz w:val="22"/>
          <w:szCs w:val="22"/>
          <w:u w:val="single"/>
        </w:rPr>
      </w:pPr>
    </w:p>
    <w:p w14:paraId="6D16B976" w14:textId="77777777" w:rsidR="00ED7041" w:rsidRPr="00BA3424" w:rsidRDefault="00ED7041" w:rsidP="00ED7041">
      <w:pPr>
        <w:pStyle w:val="Default"/>
        <w:numPr>
          <w:ilvl w:val="0"/>
          <w:numId w:val="10"/>
        </w:numPr>
        <w:spacing w:after="32" w:line="276" w:lineRule="auto"/>
        <w:jc w:val="both"/>
        <w:rPr>
          <w:color w:val="auto"/>
          <w:sz w:val="22"/>
          <w:szCs w:val="22"/>
        </w:rPr>
      </w:pPr>
      <w:r w:rsidRPr="00BA3424">
        <w:rPr>
          <w:color w:val="auto"/>
          <w:sz w:val="22"/>
          <w:szCs w:val="22"/>
        </w:rPr>
        <w:t xml:space="preserve">Grupo Experimental </w:t>
      </w:r>
    </w:p>
    <w:p w14:paraId="1BD5CFFE" w14:textId="77777777" w:rsidR="00ED7041" w:rsidRDefault="00ED7041" w:rsidP="00ED7041">
      <w:pPr>
        <w:pStyle w:val="Default"/>
        <w:spacing w:after="32" w:line="276" w:lineRule="auto"/>
        <w:ind w:left="708"/>
        <w:jc w:val="both"/>
        <w:rPr>
          <w:color w:val="auto"/>
          <w:sz w:val="22"/>
          <w:szCs w:val="22"/>
        </w:rPr>
      </w:pPr>
      <w:r w:rsidRPr="00BA3424">
        <w:rPr>
          <w:color w:val="auto"/>
          <w:sz w:val="22"/>
          <w:szCs w:val="22"/>
        </w:rPr>
        <w:t>Conformado por dos grupos de estudio:</w:t>
      </w:r>
    </w:p>
    <w:p w14:paraId="7498FAF1" w14:textId="77777777" w:rsidR="00ED7041" w:rsidRPr="00BA3424" w:rsidRDefault="00ED7041" w:rsidP="00ED7041">
      <w:pPr>
        <w:pStyle w:val="Default"/>
        <w:spacing w:after="32" w:line="276" w:lineRule="auto"/>
        <w:ind w:left="708"/>
        <w:jc w:val="both"/>
        <w:rPr>
          <w:color w:val="auto"/>
          <w:sz w:val="22"/>
          <w:szCs w:val="22"/>
        </w:rPr>
      </w:pPr>
    </w:p>
    <w:p w14:paraId="2BDFEE2E" w14:textId="77777777" w:rsidR="00ED7041" w:rsidRPr="00BA3424" w:rsidRDefault="00ED7041" w:rsidP="00ED7041">
      <w:pPr>
        <w:pStyle w:val="Default"/>
        <w:numPr>
          <w:ilvl w:val="1"/>
          <w:numId w:val="11"/>
        </w:numPr>
        <w:spacing w:after="32" w:line="276" w:lineRule="auto"/>
        <w:jc w:val="both"/>
        <w:rPr>
          <w:color w:val="auto"/>
          <w:sz w:val="22"/>
          <w:szCs w:val="22"/>
        </w:rPr>
      </w:pPr>
      <w:r w:rsidRPr="00BA3424">
        <w:rPr>
          <w:color w:val="auto"/>
          <w:sz w:val="22"/>
          <w:szCs w:val="22"/>
        </w:rPr>
        <w:t>Grupo de Tratamiento</w:t>
      </w:r>
    </w:p>
    <w:p w14:paraId="48C133A7" w14:textId="77777777" w:rsidR="00ED7041" w:rsidRPr="00BA3424" w:rsidRDefault="00ED7041" w:rsidP="00ED7041">
      <w:pPr>
        <w:pStyle w:val="Default"/>
        <w:spacing w:after="32" w:line="276" w:lineRule="auto"/>
        <w:ind w:left="720"/>
        <w:jc w:val="both"/>
        <w:rPr>
          <w:color w:val="auto"/>
          <w:sz w:val="22"/>
          <w:szCs w:val="22"/>
        </w:rPr>
      </w:pPr>
      <w:r w:rsidRPr="00BA3424">
        <w:rPr>
          <w:color w:val="auto"/>
          <w:sz w:val="22"/>
          <w:szCs w:val="22"/>
        </w:rPr>
        <w:t xml:space="preserve">Estas empresas serán las beneficiarias de la intervención, que incluye los tres componentes: Subvención monetaria para la contratación de un Profesional en Comercialización y subvención no monetaria que incluye la </w:t>
      </w:r>
      <w:r>
        <w:rPr>
          <w:color w:val="auto"/>
          <w:sz w:val="22"/>
          <w:szCs w:val="22"/>
        </w:rPr>
        <w:t>participación en el</w:t>
      </w:r>
      <w:r w:rsidRPr="00BA3424">
        <w:rPr>
          <w:color w:val="auto"/>
          <w:sz w:val="22"/>
          <w:szCs w:val="22"/>
        </w:rPr>
        <w:t xml:space="preserve"> Programa de Capacitación en Emprendimiento Global (PCEG) y en el Programa de Mentoría y Mejora del “Pitch </w:t>
      </w:r>
      <w:proofErr w:type="spellStart"/>
      <w:r w:rsidRPr="00BA3424">
        <w:rPr>
          <w:color w:val="auto"/>
          <w:sz w:val="22"/>
          <w:szCs w:val="22"/>
        </w:rPr>
        <w:t>Elevator</w:t>
      </w:r>
      <w:proofErr w:type="spellEnd"/>
      <w:r w:rsidRPr="00BA3424">
        <w:rPr>
          <w:color w:val="auto"/>
          <w:sz w:val="22"/>
          <w:szCs w:val="22"/>
        </w:rPr>
        <w:t xml:space="preserve">” (PMPE). </w:t>
      </w:r>
    </w:p>
    <w:p w14:paraId="36E75873" w14:textId="77777777" w:rsidR="00ED7041" w:rsidRPr="00BA3424" w:rsidRDefault="00ED7041" w:rsidP="00ED7041">
      <w:pPr>
        <w:pStyle w:val="Default"/>
        <w:spacing w:after="32" w:line="276" w:lineRule="auto"/>
        <w:ind w:left="720"/>
        <w:jc w:val="both"/>
        <w:rPr>
          <w:color w:val="auto"/>
          <w:sz w:val="22"/>
          <w:szCs w:val="22"/>
        </w:rPr>
      </w:pPr>
    </w:p>
    <w:p w14:paraId="6438F1E4" w14:textId="77777777" w:rsidR="00ED7041" w:rsidRPr="00BA3424" w:rsidRDefault="00ED7041" w:rsidP="00ED7041">
      <w:pPr>
        <w:pStyle w:val="Default"/>
        <w:numPr>
          <w:ilvl w:val="1"/>
          <w:numId w:val="11"/>
        </w:numPr>
        <w:spacing w:after="32" w:line="276" w:lineRule="auto"/>
        <w:jc w:val="both"/>
        <w:rPr>
          <w:color w:val="auto"/>
          <w:sz w:val="22"/>
          <w:szCs w:val="22"/>
        </w:rPr>
      </w:pPr>
      <w:r w:rsidRPr="00BA3424">
        <w:rPr>
          <w:color w:val="auto"/>
          <w:sz w:val="22"/>
          <w:szCs w:val="22"/>
        </w:rPr>
        <w:t>Grupo de control:</w:t>
      </w:r>
    </w:p>
    <w:p w14:paraId="77A4A7EB" w14:textId="77777777" w:rsidR="00ED7041" w:rsidRDefault="00ED7041" w:rsidP="00ED7041">
      <w:pPr>
        <w:pStyle w:val="Default"/>
        <w:spacing w:after="32" w:line="276" w:lineRule="auto"/>
        <w:ind w:left="720"/>
        <w:jc w:val="both"/>
        <w:rPr>
          <w:color w:val="auto"/>
          <w:sz w:val="22"/>
          <w:szCs w:val="22"/>
        </w:rPr>
      </w:pPr>
      <w:r w:rsidRPr="00616B31">
        <w:rPr>
          <w:color w:val="auto"/>
          <w:sz w:val="22"/>
          <w:szCs w:val="22"/>
        </w:rPr>
        <w:t xml:space="preserve">Estas empresas no recibirán la misma intervención del programa de “Aceleración de la Innovación” durante el período de estudio de dos años. </w:t>
      </w:r>
    </w:p>
    <w:p w14:paraId="02CAD863" w14:textId="77777777" w:rsidR="00ED7041" w:rsidRPr="00BA3424" w:rsidRDefault="00ED7041" w:rsidP="00ED7041">
      <w:pPr>
        <w:pStyle w:val="Default"/>
        <w:spacing w:after="32" w:line="276" w:lineRule="auto"/>
        <w:ind w:left="720"/>
        <w:jc w:val="both"/>
        <w:rPr>
          <w:color w:val="auto"/>
          <w:sz w:val="22"/>
          <w:szCs w:val="22"/>
        </w:rPr>
      </w:pPr>
    </w:p>
    <w:p w14:paraId="3ADC04BD" w14:textId="77777777" w:rsidR="00ED7041" w:rsidRPr="00BA3424" w:rsidRDefault="00ED7041" w:rsidP="00ED7041">
      <w:pPr>
        <w:pStyle w:val="Default"/>
        <w:numPr>
          <w:ilvl w:val="0"/>
          <w:numId w:val="10"/>
        </w:numPr>
        <w:spacing w:after="32" w:line="276" w:lineRule="auto"/>
        <w:jc w:val="both"/>
        <w:rPr>
          <w:sz w:val="22"/>
          <w:szCs w:val="22"/>
        </w:rPr>
      </w:pPr>
      <w:r w:rsidRPr="00BA3424">
        <w:rPr>
          <w:color w:val="auto"/>
          <w:sz w:val="22"/>
          <w:szCs w:val="22"/>
        </w:rPr>
        <w:t>Grupo de Accesitarios</w:t>
      </w:r>
      <w:r w:rsidRPr="00BA3424">
        <w:rPr>
          <w:b/>
          <w:bCs/>
          <w:color w:val="auto"/>
          <w:sz w:val="22"/>
          <w:szCs w:val="22"/>
        </w:rPr>
        <w:t xml:space="preserve">: </w:t>
      </w:r>
      <w:r w:rsidRPr="00BA3424">
        <w:rPr>
          <w:sz w:val="22"/>
          <w:szCs w:val="22"/>
        </w:rPr>
        <w:t>Estas empresas representan un grupo de reserva que serán asignadas aleatoriamente al grupo de tratamiento o al grupo de control</w:t>
      </w:r>
      <w:r>
        <w:rPr>
          <w:sz w:val="22"/>
          <w:szCs w:val="22"/>
        </w:rPr>
        <w:t xml:space="preserve">, solo </w:t>
      </w:r>
      <w:proofErr w:type="gramStart"/>
      <w:r>
        <w:rPr>
          <w:sz w:val="22"/>
          <w:szCs w:val="22"/>
        </w:rPr>
        <w:t>en caso que</w:t>
      </w:r>
      <w:proofErr w:type="gramEnd"/>
      <w:r>
        <w:rPr>
          <w:sz w:val="22"/>
          <w:szCs w:val="22"/>
        </w:rPr>
        <w:t xml:space="preserve"> </w:t>
      </w:r>
      <w:r w:rsidRPr="00BA3424">
        <w:rPr>
          <w:sz w:val="22"/>
          <w:szCs w:val="22"/>
        </w:rPr>
        <w:t xml:space="preserve">alguna de las empresas de </w:t>
      </w:r>
      <w:r>
        <w:rPr>
          <w:sz w:val="22"/>
          <w:szCs w:val="22"/>
        </w:rPr>
        <w:t xml:space="preserve">ambos </w:t>
      </w:r>
      <w:r w:rsidRPr="00BA3424">
        <w:rPr>
          <w:sz w:val="22"/>
          <w:szCs w:val="22"/>
        </w:rPr>
        <w:t xml:space="preserve">grupos experimentales </w:t>
      </w:r>
      <w:r>
        <w:rPr>
          <w:sz w:val="22"/>
          <w:szCs w:val="22"/>
        </w:rPr>
        <w:t xml:space="preserve">desista de </w:t>
      </w:r>
      <w:r w:rsidRPr="00BA3424">
        <w:rPr>
          <w:sz w:val="22"/>
          <w:szCs w:val="22"/>
        </w:rPr>
        <w:t xml:space="preserve">participar en </w:t>
      </w:r>
      <w:r>
        <w:rPr>
          <w:sz w:val="22"/>
          <w:szCs w:val="22"/>
        </w:rPr>
        <w:t>el proceso de aleatorización</w:t>
      </w:r>
      <w:r w:rsidRPr="00BA3424">
        <w:rPr>
          <w:sz w:val="22"/>
          <w:szCs w:val="22"/>
        </w:rPr>
        <w:t xml:space="preserve">. </w:t>
      </w:r>
    </w:p>
    <w:p w14:paraId="25AE9809" w14:textId="77777777" w:rsidR="00ED7041" w:rsidRDefault="00ED7041" w:rsidP="00ED7041">
      <w:pPr>
        <w:spacing w:line="276" w:lineRule="auto"/>
        <w:rPr>
          <w:color w:val="000000"/>
        </w:rPr>
      </w:pPr>
    </w:p>
    <w:p w14:paraId="360B65CA" w14:textId="77777777" w:rsidR="00ED7041" w:rsidRDefault="00ED7041" w:rsidP="00ED7041">
      <w:pPr>
        <w:spacing w:line="276" w:lineRule="auto"/>
        <w:rPr>
          <w:color w:val="000000"/>
        </w:rPr>
      </w:pPr>
    </w:p>
    <w:p w14:paraId="6E4CCC06" w14:textId="77777777" w:rsidR="00ED7041" w:rsidRPr="00BA3424" w:rsidRDefault="00ED7041" w:rsidP="00ED7041">
      <w:pPr>
        <w:spacing w:line="276" w:lineRule="auto"/>
        <w:rPr>
          <w:color w:val="000000"/>
        </w:rPr>
      </w:pPr>
      <w:r w:rsidRPr="00BA3424">
        <w:rPr>
          <w:color w:val="000000"/>
        </w:rPr>
        <w:t>NOTA:</w:t>
      </w:r>
    </w:p>
    <w:p w14:paraId="133BF3A0" w14:textId="77777777" w:rsidR="00ED7041" w:rsidRPr="00153E1A" w:rsidRDefault="00ED7041" w:rsidP="00ED7041">
      <w:pPr>
        <w:spacing w:line="276" w:lineRule="auto"/>
        <w:rPr>
          <w:color w:val="3B3D3E"/>
          <w:szCs w:val="22"/>
          <w:u w:val="single"/>
        </w:rPr>
      </w:pPr>
      <w:r w:rsidRPr="00153E1A">
        <w:rPr>
          <w:color w:val="3B3D3E"/>
          <w:szCs w:val="22"/>
          <w:u w:val="single"/>
        </w:rPr>
        <w:t>Las empresas que postularon y fueron seleccionadas para la etapa de aleatorización en la primera convocatoria, no serán ELEGIBLES para esta segunda convocatoria u otras convocatorias vinculadas al desarrollo o aceleración de proyectos de innovación convocadas por el FONDECYT   </w:t>
      </w:r>
    </w:p>
    <w:p w14:paraId="7DFDF4E6" w14:textId="77777777" w:rsidR="00ED7041" w:rsidRDefault="00ED7041" w:rsidP="00ED7041">
      <w:pPr>
        <w:spacing w:line="276" w:lineRule="auto"/>
        <w:rPr>
          <w:color w:val="000000"/>
          <w:u w:val="single"/>
        </w:rPr>
      </w:pPr>
    </w:p>
    <w:p w14:paraId="12A9091A" w14:textId="77777777" w:rsidR="00ED7041" w:rsidRDefault="00ED7041" w:rsidP="00ED7041">
      <w:pPr>
        <w:pStyle w:val="Prrafodelista"/>
        <w:numPr>
          <w:ilvl w:val="0"/>
          <w:numId w:val="13"/>
        </w:numPr>
        <w:spacing w:line="276" w:lineRule="auto"/>
        <w:rPr>
          <w:b/>
          <w:bCs/>
          <w:color w:val="000000"/>
        </w:rPr>
      </w:pPr>
      <w:r w:rsidRPr="00D925AA">
        <w:rPr>
          <w:b/>
          <w:bCs/>
          <w:color w:val="000000"/>
        </w:rPr>
        <w:t xml:space="preserve">COMPROMISOS </w:t>
      </w:r>
      <w:r>
        <w:rPr>
          <w:b/>
          <w:bCs/>
          <w:color w:val="000000"/>
        </w:rPr>
        <w:t>DE LOS GRUPOS DE ESTUDIO</w:t>
      </w:r>
    </w:p>
    <w:p w14:paraId="79CEF37F" w14:textId="77777777" w:rsidR="00ED7041" w:rsidRDefault="00ED7041" w:rsidP="00ED7041">
      <w:pPr>
        <w:pStyle w:val="Prrafodelista"/>
        <w:spacing w:line="276" w:lineRule="auto"/>
        <w:rPr>
          <w:b/>
          <w:bCs/>
          <w:color w:val="000000"/>
        </w:rPr>
      </w:pPr>
    </w:p>
    <w:p w14:paraId="1360532A" w14:textId="77777777" w:rsidR="00ED7041" w:rsidRDefault="00ED7041" w:rsidP="00ED7041">
      <w:pPr>
        <w:pStyle w:val="Prrafodelista"/>
        <w:spacing w:line="276" w:lineRule="auto"/>
        <w:ind w:left="60"/>
        <w:rPr>
          <w:color w:val="000000"/>
        </w:rPr>
      </w:pPr>
      <w:r>
        <w:rPr>
          <w:color w:val="000000"/>
        </w:rPr>
        <w:t>Durante el periodo de estudio, las empresas seleccionadas, según el grupo al que pertenezcan, asumirán en los siguientes compromisos:</w:t>
      </w:r>
    </w:p>
    <w:p w14:paraId="716327D4" w14:textId="77777777" w:rsidR="00ED7041" w:rsidRDefault="00ED7041" w:rsidP="00ED7041">
      <w:pPr>
        <w:pStyle w:val="Prrafodelista"/>
        <w:spacing w:line="276" w:lineRule="auto"/>
        <w:ind w:left="60"/>
        <w:rPr>
          <w:color w:val="000000"/>
        </w:rPr>
      </w:pPr>
    </w:p>
    <w:p w14:paraId="03FBEB5A" w14:textId="77777777" w:rsidR="00ED7041" w:rsidRDefault="00ED7041" w:rsidP="00ED7041">
      <w:pPr>
        <w:autoSpaceDE w:val="0"/>
        <w:autoSpaceDN w:val="0"/>
        <w:adjustRightInd w:val="0"/>
        <w:spacing w:line="276" w:lineRule="auto"/>
        <w:ind w:left="48"/>
        <w:rPr>
          <w:u w:val="single"/>
        </w:rPr>
      </w:pPr>
      <w:r w:rsidRPr="00556B24">
        <w:rPr>
          <w:u w:val="single"/>
        </w:rPr>
        <w:t xml:space="preserve">Grupo de </w:t>
      </w:r>
      <w:r>
        <w:rPr>
          <w:u w:val="single"/>
        </w:rPr>
        <w:t>Tratamiento:</w:t>
      </w:r>
    </w:p>
    <w:p w14:paraId="72808E92" w14:textId="77777777" w:rsidR="00ED7041" w:rsidRPr="00556B24" w:rsidRDefault="00ED7041" w:rsidP="00ED7041">
      <w:pPr>
        <w:autoSpaceDE w:val="0"/>
        <w:autoSpaceDN w:val="0"/>
        <w:adjustRightInd w:val="0"/>
        <w:spacing w:line="276" w:lineRule="auto"/>
        <w:ind w:left="48"/>
        <w:rPr>
          <w:u w:val="single"/>
        </w:rPr>
      </w:pPr>
    </w:p>
    <w:p w14:paraId="48EA5DB1" w14:textId="77777777" w:rsidR="00ED7041" w:rsidRPr="008C0E20" w:rsidRDefault="00ED7041" w:rsidP="00ED7041">
      <w:pPr>
        <w:autoSpaceDE w:val="0"/>
        <w:autoSpaceDN w:val="0"/>
        <w:adjustRightInd w:val="0"/>
        <w:spacing w:line="276" w:lineRule="auto"/>
        <w:ind w:left="48"/>
      </w:pPr>
      <w:r w:rsidRPr="008C0E20">
        <w:t xml:space="preserve">Durante la ejecución del proyecto, </w:t>
      </w:r>
      <w:r>
        <w:t xml:space="preserve">las empresas se comprometen a entregar, de manera periódica (una vez por mes o hasta </w:t>
      </w:r>
      <w:proofErr w:type="gramStart"/>
      <w:r>
        <w:t>un vez</w:t>
      </w:r>
      <w:proofErr w:type="gramEnd"/>
      <w:r>
        <w:t xml:space="preserve"> cada dos meses), información técnica y financiera del avance y ejecución de la propuesta. E</w:t>
      </w:r>
      <w:r w:rsidRPr="008C0E20">
        <w:t>l seguimiento y monitoreo lo realiza la Unidad de Seguimiento y Monitoreo del FONDECYT.  Los monitores de la USM, tanto técnico como financiero, tienen entre sus</w:t>
      </w:r>
      <w:r>
        <w:t xml:space="preserve"> </w:t>
      </w:r>
      <w:r w:rsidRPr="008C0E20">
        <w:t>responsabilidades:</w:t>
      </w:r>
    </w:p>
    <w:p w14:paraId="62192372" w14:textId="77777777" w:rsidR="00ED7041" w:rsidRDefault="00ED7041" w:rsidP="00ED7041">
      <w:pPr>
        <w:pStyle w:val="Prrafodelista"/>
        <w:autoSpaceDE w:val="0"/>
        <w:autoSpaceDN w:val="0"/>
        <w:adjustRightInd w:val="0"/>
        <w:spacing w:line="276" w:lineRule="auto"/>
        <w:ind w:left="408"/>
      </w:pPr>
    </w:p>
    <w:p w14:paraId="7971A593" w14:textId="77777777" w:rsidR="00ED7041" w:rsidRDefault="00ED7041" w:rsidP="00ED704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08"/>
      </w:pPr>
      <w:r w:rsidRPr="008C0E20">
        <w:t xml:space="preserve">Monitorear la gestión de las actividades realizadas por los subvencionados </w:t>
      </w:r>
      <w:proofErr w:type="gramStart"/>
      <w:r w:rsidRPr="008C0E20">
        <w:t>de</w:t>
      </w:r>
      <w:r>
        <w:t xml:space="preserve"> </w:t>
      </w:r>
      <w:r w:rsidRPr="008C0E20">
        <w:t>acuerdo a</w:t>
      </w:r>
      <w:proofErr w:type="gramEnd"/>
      <w:r w:rsidRPr="008C0E20">
        <w:t xml:space="preserve"> la propuesta presentada.</w:t>
      </w:r>
    </w:p>
    <w:p w14:paraId="17E9FE74" w14:textId="77777777" w:rsidR="00ED7041" w:rsidRDefault="00ED7041" w:rsidP="00ED704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08"/>
      </w:pPr>
      <w:r w:rsidRPr="008C0E20">
        <w:t>Llevar un registro y control administrativo del avance y ejecución técnica y financiera</w:t>
      </w:r>
      <w:r>
        <w:t>.</w:t>
      </w:r>
    </w:p>
    <w:p w14:paraId="06D359F9" w14:textId="77777777" w:rsidR="00ED7041" w:rsidRPr="008C0E20" w:rsidRDefault="00ED7041" w:rsidP="00ED704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08"/>
      </w:pPr>
      <w:r>
        <w:t>E</w:t>
      </w:r>
      <w:r w:rsidRPr="00B51677">
        <w:t>valuar el progreso de las empresas/emprendedores durante y después de la ejecución del proyecto con respecto a aspectos comerciales, financieros, de bienes y propiedades, empleados, entre otros aspectos.</w:t>
      </w:r>
    </w:p>
    <w:p w14:paraId="752F50EA" w14:textId="77777777" w:rsidR="00ED7041" w:rsidRDefault="00ED7041" w:rsidP="00ED7041">
      <w:pPr>
        <w:pStyle w:val="Default"/>
        <w:spacing w:after="32" w:line="276" w:lineRule="auto"/>
        <w:ind w:left="60"/>
        <w:jc w:val="both"/>
        <w:rPr>
          <w:color w:val="auto"/>
          <w:sz w:val="22"/>
          <w:szCs w:val="22"/>
        </w:rPr>
      </w:pPr>
    </w:p>
    <w:p w14:paraId="33400856" w14:textId="77777777" w:rsidR="00ED7041" w:rsidRDefault="00ED7041" w:rsidP="00ED7041">
      <w:pPr>
        <w:autoSpaceDE w:val="0"/>
        <w:autoSpaceDN w:val="0"/>
        <w:adjustRightInd w:val="0"/>
        <w:spacing w:line="276" w:lineRule="auto"/>
        <w:ind w:left="48"/>
        <w:rPr>
          <w:u w:val="single"/>
        </w:rPr>
      </w:pPr>
      <w:r w:rsidRPr="00556B24">
        <w:rPr>
          <w:u w:val="single"/>
        </w:rPr>
        <w:t>Grupo de Control</w:t>
      </w:r>
      <w:r>
        <w:rPr>
          <w:u w:val="single"/>
        </w:rPr>
        <w:t>:</w:t>
      </w:r>
    </w:p>
    <w:p w14:paraId="3A8C914D" w14:textId="77777777" w:rsidR="00ED7041" w:rsidRDefault="00ED7041" w:rsidP="00ED7041">
      <w:pPr>
        <w:pStyle w:val="Default"/>
        <w:spacing w:after="32" w:line="276" w:lineRule="auto"/>
        <w:ind w:left="60"/>
        <w:jc w:val="both"/>
        <w:rPr>
          <w:color w:val="auto"/>
          <w:sz w:val="22"/>
          <w:szCs w:val="22"/>
        </w:rPr>
      </w:pPr>
    </w:p>
    <w:p w14:paraId="3DAF0A71" w14:textId="77777777" w:rsidR="00ED7041" w:rsidRPr="00A21723" w:rsidRDefault="00ED7041" w:rsidP="00ED7041">
      <w:pPr>
        <w:pStyle w:val="Default"/>
        <w:spacing w:after="32" w:line="276" w:lineRule="auto"/>
        <w:ind w:left="60"/>
        <w:jc w:val="both"/>
        <w:rPr>
          <w:color w:val="auto"/>
          <w:sz w:val="22"/>
          <w:szCs w:val="22"/>
        </w:rPr>
      </w:pPr>
      <w:r w:rsidRPr="00BA3424">
        <w:rPr>
          <w:color w:val="auto"/>
          <w:sz w:val="22"/>
          <w:szCs w:val="22"/>
        </w:rPr>
        <w:t>Durante el periodo de estudio, las empresas se comprometen a entregar, de manera periódica, al FONDECYT o quien este designe, información técnica y financiera que permitan verificar el avance y resultados del producto o servicio de la propuesta.</w:t>
      </w:r>
      <w:r>
        <w:rPr>
          <w:color w:val="auto"/>
          <w:sz w:val="22"/>
          <w:szCs w:val="22"/>
        </w:rPr>
        <w:t xml:space="preserve"> Asimismo, información que permita e</w:t>
      </w:r>
      <w:r w:rsidRPr="00B51677">
        <w:rPr>
          <w:color w:val="auto"/>
          <w:sz w:val="22"/>
          <w:szCs w:val="22"/>
        </w:rPr>
        <w:t>valuar el progreso de las empresas/emprendedores durante y después de la ejecución del proyecto con respecto a aspectos comerciales, financieros, de bienes y propiedades, empleados, entre otros aspectos.</w:t>
      </w:r>
    </w:p>
    <w:p w14:paraId="7F307839" w14:textId="77777777" w:rsidR="00ED7041" w:rsidRDefault="00ED7041" w:rsidP="00ED7041">
      <w:pPr>
        <w:pStyle w:val="Default"/>
        <w:spacing w:after="32" w:line="276" w:lineRule="auto"/>
        <w:rPr>
          <w:color w:val="auto"/>
          <w:sz w:val="22"/>
          <w:szCs w:val="22"/>
        </w:rPr>
      </w:pPr>
    </w:p>
    <w:p w14:paraId="0181277C" w14:textId="77777777" w:rsidR="00ED7041" w:rsidRDefault="00ED7041" w:rsidP="00ED7041">
      <w:pPr>
        <w:pStyle w:val="Default"/>
        <w:spacing w:after="32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Para ambos grupos, d</w:t>
      </w:r>
      <w:r w:rsidRPr="00914DD6">
        <w:rPr>
          <w:color w:val="auto"/>
          <w:sz w:val="22"/>
          <w:szCs w:val="22"/>
        </w:rPr>
        <w:t xml:space="preserve">e ser necesario, FONDECYT contratará un experto (o varios) en la temática del proyecto como apoyo a la revisión técnica y levantamiento de la información. </w:t>
      </w:r>
      <w:r w:rsidRPr="00214446">
        <w:rPr>
          <w:color w:val="auto"/>
          <w:sz w:val="22"/>
          <w:szCs w:val="22"/>
        </w:rPr>
        <w:t>Así mismo</w:t>
      </w:r>
      <w:r>
        <w:rPr>
          <w:color w:val="auto"/>
          <w:sz w:val="22"/>
          <w:szCs w:val="22"/>
        </w:rPr>
        <w:t>,</w:t>
      </w:r>
      <w:r w:rsidRPr="00214446">
        <w:rPr>
          <w:color w:val="auto"/>
          <w:sz w:val="22"/>
          <w:szCs w:val="22"/>
        </w:rPr>
        <w:t xml:space="preserve"> FONDECYT podrá realizar visitas inopinadas en cualquier momento del periodo de ejecución del proyecto.</w:t>
      </w:r>
    </w:p>
    <w:p w14:paraId="52D46E6D" w14:textId="77777777" w:rsidR="00ED7041" w:rsidRDefault="00ED7041" w:rsidP="00ED7041">
      <w:pPr>
        <w:pStyle w:val="Default"/>
        <w:spacing w:after="32" w:line="276" w:lineRule="auto"/>
        <w:ind w:left="60"/>
        <w:jc w:val="both"/>
        <w:rPr>
          <w:color w:val="auto"/>
          <w:sz w:val="22"/>
          <w:szCs w:val="22"/>
        </w:rPr>
      </w:pPr>
    </w:p>
    <w:p w14:paraId="3A9D3626" w14:textId="7C795161" w:rsidR="00ED7041" w:rsidRDefault="00ED7041" w:rsidP="00ED7041">
      <w:pPr>
        <w:pStyle w:val="Default"/>
        <w:spacing w:after="32" w:line="276" w:lineRule="auto"/>
        <w:ind w:left="60"/>
        <w:jc w:val="both"/>
        <w:rPr>
          <w:color w:val="auto"/>
          <w:sz w:val="22"/>
          <w:szCs w:val="22"/>
        </w:rPr>
      </w:pPr>
    </w:p>
    <w:p w14:paraId="5533EBA6" w14:textId="43E4316C" w:rsidR="00ED7041" w:rsidRDefault="00ED7041" w:rsidP="00ED7041">
      <w:pPr>
        <w:pStyle w:val="Default"/>
        <w:spacing w:after="32" w:line="276" w:lineRule="auto"/>
        <w:ind w:left="60"/>
        <w:jc w:val="both"/>
        <w:rPr>
          <w:color w:val="auto"/>
          <w:sz w:val="22"/>
          <w:szCs w:val="22"/>
        </w:rPr>
      </w:pPr>
    </w:p>
    <w:p w14:paraId="2448C837" w14:textId="1735A081" w:rsidR="00ED7041" w:rsidRDefault="00ED7041" w:rsidP="00ED7041">
      <w:pPr>
        <w:pStyle w:val="Default"/>
        <w:spacing w:after="32" w:line="276" w:lineRule="auto"/>
        <w:ind w:left="60"/>
        <w:jc w:val="both"/>
        <w:rPr>
          <w:color w:val="auto"/>
          <w:sz w:val="22"/>
          <w:szCs w:val="22"/>
        </w:rPr>
      </w:pPr>
    </w:p>
    <w:p w14:paraId="7F5B2304" w14:textId="77777777" w:rsidR="00ED7041" w:rsidRPr="00BA3424" w:rsidRDefault="00ED7041" w:rsidP="00ED7041">
      <w:pPr>
        <w:pStyle w:val="Default"/>
        <w:spacing w:after="32" w:line="276" w:lineRule="auto"/>
        <w:ind w:left="60"/>
        <w:jc w:val="both"/>
        <w:rPr>
          <w:color w:val="auto"/>
          <w:sz w:val="22"/>
          <w:szCs w:val="22"/>
        </w:rPr>
      </w:pPr>
    </w:p>
    <w:p w14:paraId="3C3319FC" w14:textId="77777777" w:rsidR="00ED7041" w:rsidRDefault="00ED7041" w:rsidP="00ED7041">
      <w:pPr>
        <w:pStyle w:val="Default"/>
        <w:spacing w:after="32" w:line="276" w:lineRule="auto"/>
        <w:ind w:left="720"/>
        <w:jc w:val="both"/>
        <w:rPr>
          <w:color w:val="auto"/>
          <w:sz w:val="22"/>
          <w:szCs w:val="22"/>
        </w:rPr>
      </w:pPr>
    </w:p>
    <w:p w14:paraId="0F78ABA5" w14:textId="77777777" w:rsidR="00ED7041" w:rsidRDefault="00ED7041" w:rsidP="00ED7041">
      <w:pPr>
        <w:pStyle w:val="Prrafodelista"/>
        <w:numPr>
          <w:ilvl w:val="0"/>
          <w:numId w:val="13"/>
        </w:numPr>
        <w:spacing w:line="276" w:lineRule="auto"/>
        <w:rPr>
          <w:rFonts w:eastAsia="Arial"/>
          <w:b/>
          <w:bCs/>
          <w:lang w:eastAsia="es-MX" w:bidi="es-MX"/>
        </w:rPr>
      </w:pPr>
      <w:r w:rsidRPr="008C0E20">
        <w:rPr>
          <w:rFonts w:eastAsia="Arial"/>
          <w:b/>
          <w:bCs/>
          <w:lang w:eastAsia="es-MX" w:bidi="es-MX"/>
        </w:rPr>
        <w:t>CONFIDENCIALIDAD</w:t>
      </w:r>
    </w:p>
    <w:p w14:paraId="235D9D47" w14:textId="77777777" w:rsidR="00ED7041" w:rsidRPr="008C0E20" w:rsidRDefault="00ED7041" w:rsidP="00ED7041">
      <w:pPr>
        <w:pStyle w:val="Prrafodelista"/>
        <w:spacing w:line="276" w:lineRule="auto"/>
        <w:rPr>
          <w:rFonts w:eastAsia="Arial"/>
          <w:b/>
          <w:bCs/>
          <w:lang w:eastAsia="es-MX" w:bidi="es-MX"/>
        </w:rPr>
      </w:pPr>
    </w:p>
    <w:p w14:paraId="59677972" w14:textId="77777777" w:rsidR="00ED7041" w:rsidRDefault="00ED7041" w:rsidP="00ED7041">
      <w:pPr>
        <w:spacing w:line="276" w:lineRule="auto"/>
        <w:rPr>
          <w:rFonts w:eastAsia="Arial"/>
          <w:lang w:eastAsia="es-MX" w:bidi="es-MX"/>
        </w:rPr>
      </w:pPr>
      <w:r w:rsidRPr="00BA3424">
        <w:rPr>
          <w:rFonts w:eastAsia="Arial"/>
          <w:lang w:eastAsia="es-MX" w:bidi="es-MX"/>
        </w:rPr>
        <w:t>La información que sea proporcionada por su empresa, solo se le dará el tratamiento en el marco del estudio de impacto y no será materia de otro tipo de divulgación. Cualquier tipo de información o datos que pueda identificar a la empresa o su representante legal será manejado confidencialmente.</w:t>
      </w:r>
    </w:p>
    <w:p w14:paraId="71AADD48" w14:textId="77777777" w:rsidR="00ED7041" w:rsidRPr="00BA3424" w:rsidRDefault="00ED7041" w:rsidP="00ED7041">
      <w:pPr>
        <w:spacing w:line="276" w:lineRule="auto"/>
        <w:rPr>
          <w:rFonts w:eastAsia="Arial"/>
          <w:lang w:eastAsia="es-MX" w:bidi="es-MX"/>
        </w:rPr>
      </w:pPr>
    </w:p>
    <w:p w14:paraId="42F80F50" w14:textId="77777777" w:rsidR="00ED7041" w:rsidRDefault="00ED7041" w:rsidP="00ED7041">
      <w:pPr>
        <w:spacing w:line="276" w:lineRule="auto"/>
        <w:rPr>
          <w:rFonts w:eastAsia="Arial"/>
          <w:b/>
          <w:bCs/>
          <w:lang w:eastAsia="es-MX" w:bidi="es-MX"/>
        </w:rPr>
      </w:pPr>
      <w:r>
        <w:rPr>
          <w:rFonts w:eastAsia="Arial"/>
          <w:b/>
          <w:bCs/>
          <w:lang w:eastAsia="es-MX" w:bidi="es-MX"/>
        </w:rPr>
        <w:t>En caso de ser preseleccionado, s</w:t>
      </w:r>
      <w:r w:rsidRPr="008C0E20">
        <w:rPr>
          <w:rFonts w:eastAsia="Arial"/>
          <w:b/>
          <w:bCs/>
          <w:lang w:eastAsia="es-MX" w:bidi="es-MX"/>
        </w:rPr>
        <w:t>u firma en este documento significa la aceptación de las condiciones del estudio y que está de acuerdo en entregar la información solicitada</w:t>
      </w:r>
      <w:r>
        <w:rPr>
          <w:rFonts w:eastAsia="Arial"/>
          <w:b/>
          <w:bCs/>
          <w:lang w:eastAsia="es-MX" w:bidi="es-MX"/>
        </w:rPr>
        <w:t>,</w:t>
      </w:r>
    </w:p>
    <w:p w14:paraId="41704927" w14:textId="77777777" w:rsidR="00ED7041" w:rsidRDefault="00ED7041" w:rsidP="00ED7041">
      <w:pPr>
        <w:rPr>
          <w:rFonts w:eastAsia="Arial"/>
          <w:b/>
          <w:bCs/>
          <w:lang w:eastAsia="es-MX" w:bidi="es-MX"/>
        </w:rPr>
      </w:pPr>
    </w:p>
    <w:p w14:paraId="0BB335E3" w14:textId="77777777" w:rsidR="00ED7041" w:rsidRDefault="00ED7041" w:rsidP="00ED7041">
      <w:pPr>
        <w:rPr>
          <w:rFonts w:eastAsia="Arial"/>
          <w:b/>
          <w:bCs/>
          <w:lang w:eastAsia="es-MX" w:bidi="es-MX"/>
        </w:rPr>
      </w:pPr>
    </w:p>
    <w:p w14:paraId="7526FB56" w14:textId="77777777" w:rsidR="00ED7041" w:rsidRDefault="00ED7041" w:rsidP="00ED7041">
      <w:pPr>
        <w:rPr>
          <w:rFonts w:eastAsia="Arial"/>
          <w:b/>
          <w:bCs/>
          <w:lang w:eastAsia="es-MX" w:bidi="es-MX"/>
        </w:rPr>
      </w:pPr>
    </w:p>
    <w:p w14:paraId="73850315" w14:textId="77777777" w:rsidR="00ED7041" w:rsidRDefault="00ED7041" w:rsidP="00ED7041">
      <w:pPr>
        <w:rPr>
          <w:rFonts w:eastAsia="Arial"/>
          <w:b/>
          <w:bCs/>
          <w:lang w:eastAsia="es-MX" w:bidi="es-MX"/>
        </w:rPr>
      </w:pPr>
      <w:r w:rsidRPr="00791F3E">
        <w:rPr>
          <w:rFonts w:eastAsia="Arial"/>
          <w:b/>
          <w:bCs/>
          <w:lang w:eastAsia="es-MX" w:bidi="es-MX"/>
        </w:rPr>
        <w:t>Firma</w:t>
      </w:r>
    </w:p>
    <w:p w14:paraId="50D42BBF" w14:textId="77777777" w:rsidR="00ED7041" w:rsidRDefault="00ED7041" w:rsidP="00ED7041">
      <w:pPr>
        <w:rPr>
          <w:rFonts w:eastAsia="Arial"/>
          <w:b/>
          <w:bCs/>
          <w:lang w:eastAsia="es-MX" w:bidi="es-MX"/>
        </w:rPr>
      </w:pPr>
      <w:r>
        <w:rPr>
          <w:rFonts w:eastAsia="Arial"/>
          <w:b/>
          <w:bCs/>
          <w:lang w:eastAsia="es-MX" w:bidi="es-MX"/>
        </w:rPr>
        <w:t xml:space="preserve">Representante Legal </w:t>
      </w:r>
    </w:p>
    <w:p w14:paraId="769F269C" w14:textId="77777777" w:rsidR="00ED7041" w:rsidRPr="00326B5C" w:rsidRDefault="00ED7041" w:rsidP="00ED7041">
      <w:pPr>
        <w:rPr>
          <w:rFonts w:eastAsia="Arial"/>
          <w:b/>
          <w:bCs/>
          <w:lang w:eastAsia="es-MX" w:bidi="es-MX"/>
        </w:rPr>
      </w:pPr>
      <w:r>
        <w:rPr>
          <w:rFonts w:eastAsia="Arial"/>
          <w:b/>
          <w:bCs/>
          <w:lang w:eastAsia="es-MX" w:bidi="es-MX"/>
        </w:rPr>
        <w:t xml:space="preserve">Entidad Solicitante </w:t>
      </w:r>
    </w:p>
    <w:p w14:paraId="529921E9" w14:textId="77777777" w:rsidR="00ED7041" w:rsidRPr="001263E6" w:rsidRDefault="00ED7041" w:rsidP="00ED7041">
      <w:pPr>
        <w:spacing w:line="276" w:lineRule="auto"/>
        <w:rPr>
          <w:b/>
          <w:color w:val="auto"/>
          <w:szCs w:val="22"/>
        </w:rPr>
      </w:pPr>
    </w:p>
    <w:p w14:paraId="07810CDF" w14:textId="77777777" w:rsidR="009F5C88" w:rsidRDefault="009F5C88" w:rsidP="009F5C88">
      <w:pPr>
        <w:spacing w:line="276" w:lineRule="auto"/>
        <w:jc w:val="right"/>
        <w:rPr>
          <w:b/>
          <w:color w:val="auto"/>
          <w:szCs w:val="22"/>
        </w:rPr>
      </w:pPr>
    </w:p>
    <w:sectPr w:rsidR="009F5C8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35034" w14:textId="77777777" w:rsidR="00956DB0" w:rsidRDefault="00956DB0" w:rsidP="003A666A">
      <w:r>
        <w:separator/>
      </w:r>
    </w:p>
  </w:endnote>
  <w:endnote w:type="continuationSeparator" w:id="0">
    <w:p w14:paraId="65E6F60F" w14:textId="77777777" w:rsidR="00956DB0" w:rsidRDefault="00956DB0" w:rsidP="003A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2A72B" w14:textId="6213E28C" w:rsidR="003A666A" w:rsidRDefault="003A666A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E6EFAC" wp14:editId="26E3145B">
          <wp:simplePos x="0" y="0"/>
          <wp:positionH relativeFrom="page">
            <wp:posOffset>287655</wp:posOffset>
          </wp:positionH>
          <wp:positionV relativeFrom="paragraph">
            <wp:posOffset>-327660</wp:posOffset>
          </wp:positionV>
          <wp:extent cx="7545687" cy="1268521"/>
          <wp:effectExtent l="0" t="0" r="0" b="825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87" cy="1268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4DFDA" w14:textId="77777777" w:rsidR="00956DB0" w:rsidRDefault="00956DB0" w:rsidP="003A666A">
      <w:r>
        <w:separator/>
      </w:r>
    </w:p>
  </w:footnote>
  <w:footnote w:type="continuationSeparator" w:id="0">
    <w:p w14:paraId="4684A488" w14:textId="77777777" w:rsidR="00956DB0" w:rsidRDefault="00956DB0" w:rsidP="003A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7442A" w14:textId="427FC8A4" w:rsidR="003A666A" w:rsidRDefault="003A666A">
    <w:pPr>
      <w:pStyle w:val="Encabezado"/>
    </w:pPr>
    <w:r w:rsidRPr="003A666A">
      <w:drawing>
        <wp:anchor distT="0" distB="0" distL="114300" distR="114300" simplePos="0" relativeHeight="251660288" behindDoc="1" locked="0" layoutInCell="1" allowOverlap="1" wp14:anchorId="6B1BA219" wp14:editId="088FE359">
          <wp:simplePos x="0" y="0"/>
          <wp:positionH relativeFrom="page">
            <wp:posOffset>89535</wp:posOffset>
          </wp:positionH>
          <wp:positionV relativeFrom="paragraph">
            <wp:posOffset>-492125</wp:posOffset>
          </wp:positionV>
          <wp:extent cx="3032760" cy="105156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cursos-CDTI-Cyted-cabecera.png"/>
                  <pic:cNvPicPr/>
                </pic:nvPicPr>
                <pic:blipFill rotWithShape="1">
                  <a:blip r:embed="rId1"/>
                  <a:srcRect r="62023"/>
                  <a:stretch/>
                </pic:blipFill>
                <pic:spPr bwMode="auto">
                  <a:xfrm>
                    <a:off x="0" y="0"/>
                    <a:ext cx="3032760" cy="105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66A">
      <w:drawing>
        <wp:anchor distT="0" distB="0" distL="114300" distR="114300" simplePos="0" relativeHeight="251659264" behindDoc="1" locked="0" layoutInCell="1" allowOverlap="1" wp14:anchorId="15011106" wp14:editId="4480BB69">
          <wp:simplePos x="0" y="0"/>
          <wp:positionH relativeFrom="page">
            <wp:posOffset>4833620</wp:posOffset>
          </wp:positionH>
          <wp:positionV relativeFrom="paragraph">
            <wp:posOffset>-610235</wp:posOffset>
          </wp:positionV>
          <wp:extent cx="2724785" cy="1233805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cursos Fondecyt-BM-cabecer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028"/>
                  <a:stretch/>
                </pic:blipFill>
                <pic:spPr bwMode="auto">
                  <a:xfrm>
                    <a:off x="0" y="0"/>
                    <a:ext cx="2724785" cy="1233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F597F"/>
    <w:multiLevelType w:val="multilevel"/>
    <w:tmpl w:val="28ACB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6F32252"/>
    <w:multiLevelType w:val="hybridMultilevel"/>
    <w:tmpl w:val="92B80352"/>
    <w:lvl w:ilvl="0" w:tplc="1AF2263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9" w:hanging="360"/>
      </w:pPr>
    </w:lvl>
    <w:lvl w:ilvl="2" w:tplc="280A001B" w:tentative="1">
      <w:start w:val="1"/>
      <w:numFmt w:val="lowerRoman"/>
      <w:lvlText w:val="%3."/>
      <w:lvlJc w:val="right"/>
      <w:pPr>
        <w:ind w:left="1839" w:hanging="180"/>
      </w:pPr>
    </w:lvl>
    <w:lvl w:ilvl="3" w:tplc="280A000F" w:tentative="1">
      <w:start w:val="1"/>
      <w:numFmt w:val="decimal"/>
      <w:lvlText w:val="%4."/>
      <w:lvlJc w:val="left"/>
      <w:pPr>
        <w:ind w:left="2559" w:hanging="360"/>
      </w:pPr>
    </w:lvl>
    <w:lvl w:ilvl="4" w:tplc="280A0019" w:tentative="1">
      <w:start w:val="1"/>
      <w:numFmt w:val="lowerLetter"/>
      <w:lvlText w:val="%5."/>
      <w:lvlJc w:val="left"/>
      <w:pPr>
        <w:ind w:left="3279" w:hanging="360"/>
      </w:pPr>
    </w:lvl>
    <w:lvl w:ilvl="5" w:tplc="280A001B" w:tentative="1">
      <w:start w:val="1"/>
      <w:numFmt w:val="lowerRoman"/>
      <w:lvlText w:val="%6."/>
      <w:lvlJc w:val="right"/>
      <w:pPr>
        <w:ind w:left="3999" w:hanging="180"/>
      </w:pPr>
    </w:lvl>
    <w:lvl w:ilvl="6" w:tplc="280A000F" w:tentative="1">
      <w:start w:val="1"/>
      <w:numFmt w:val="decimal"/>
      <w:lvlText w:val="%7."/>
      <w:lvlJc w:val="left"/>
      <w:pPr>
        <w:ind w:left="4719" w:hanging="360"/>
      </w:pPr>
    </w:lvl>
    <w:lvl w:ilvl="7" w:tplc="280A0019" w:tentative="1">
      <w:start w:val="1"/>
      <w:numFmt w:val="lowerLetter"/>
      <w:lvlText w:val="%8."/>
      <w:lvlJc w:val="left"/>
      <w:pPr>
        <w:ind w:left="5439" w:hanging="360"/>
      </w:pPr>
    </w:lvl>
    <w:lvl w:ilvl="8" w:tplc="280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 w15:restartNumberingAfterBreak="0">
    <w:nsid w:val="1A07264F"/>
    <w:multiLevelType w:val="multilevel"/>
    <w:tmpl w:val="DD70BB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2844797E"/>
    <w:multiLevelType w:val="multilevel"/>
    <w:tmpl w:val="A3C0820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4119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33ED3BDE"/>
    <w:multiLevelType w:val="hybridMultilevel"/>
    <w:tmpl w:val="CB1A5B1A"/>
    <w:lvl w:ilvl="0" w:tplc="E2D47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62F82"/>
    <w:multiLevelType w:val="hybridMultilevel"/>
    <w:tmpl w:val="826ABCDC"/>
    <w:lvl w:ilvl="0" w:tplc="C1DA64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45CEB"/>
    <w:multiLevelType w:val="hybridMultilevel"/>
    <w:tmpl w:val="D2208C6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7B4C9E"/>
    <w:multiLevelType w:val="hybridMultilevel"/>
    <w:tmpl w:val="EB84E004"/>
    <w:lvl w:ilvl="0" w:tplc="8384DAD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872F3F"/>
    <w:multiLevelType w:val="multilevel"/>
    <w:tmpl w:val="6EE0F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655C2F"/>
    <w:multiLevelType w:val="multilevel"/>
    <w:tmpl w:val="CD3C3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A66525"/>
    <w:multiLevelType w:val="hybridMultilevel"/>
    <w:tmpl w:val="F650F2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74E4D"/>
    <w:multiLevelType w:val="hybridMultilevel"/>
    <w:tmpl w:val="2D72DABA"/>
    <w:lvl w:ilvl="0" w:tplc="91CA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65359"/>
    <w:multiLevelType w:val="hybridMultilevel"/>
    <w:tmpl w:val="6BFE4E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6A"/>
    <w:rsid w:val="003A666A"/>
    <w:rsid w:val="00860857"/>
    <w:rsid w:val="00956DB0"/>
    <w:rsid w:val="009F5C88"/>
    <w:rsid w:val="00CF6131"/>
    <w:rsid w:val="00E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CF45"/>
  <w15:chartTrackingRefBased/>
  <w15:docId w15:val="{45692F96-76C1-492F-967E-D7BFCE6F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6A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eastAsia="es-PE"/>
    </w:rPr>
  </w:style>
  <w:style w:type="paragraph" w:styleId="Ttulo1">
    <w:name w:val="heading 1"/>
    <w:aliases w:val="ABF Überschrift 1"/>
    <w:basedOn w:val="Normal"/>
    <w:next w:val="Normal"/>
    <w:link w:val="Ttulo1Car"/>
    <w:uiPriority w:val="9"/>
    <w:qFormat/>
    <w:rsid w:val="003A666A"/>
    <w:pPr>
      <w:keepNext/>
      <w:keepLines/>
      <w:numPr>
        <w:numId w:val="1"/>
      </w:numPr>
      <w:spacing w:before="120" w:after="120" w:line="276" w:lineRule="auto"/>
      <w:outlineLvl w:val="0"/>
    </w:pPr>
    <w:rPr>
      <w:rFonts w:eastAsia="Arial"/>
      <w:b/>
      <w:szCs w:val="22"/>
    </w:rPr>
  </w:style>
  <w:style w:type="paragraph" w:styleId="Ttulo2">
    <w:name w:val="heading 2"/>
    <w:aliases w:val="ABF Überschrift 2"/>
    <w:basedOn w:val="Normal"/>
    <w:next w:val="Normal"/>
    <w:link w:val="Ttulo2Car"/>
    <w:uiPriority w:val="9"/>
    <w:qFormat/>
    <w:rsid w:val="003A666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eastAsia="Arial"/>
      <w:b/>
      <w:szCs w:val="22"/>
    </w:rPr>
  </w:style>
  <w:style w:type="paragraph" w:styleId="Ttulo4">
    <w:name w:val="heading 4"/>
    <w:aliases w:val="ABF Überschrift 4"/>
    <w:basedOn w:val="Normal"/>
    <w:next w:val="Normal"/>
    <w:link w:val="Ttulo4Car"/>
    <w:uiPriority w:val="9"/>
    <w:qFormat/>
    <w:rsid w:val="003A666A"/>
    <w:pPr>
      <w:keepNext/>
      <w:keepLines/>
      <w:numPr>
        <w:ilvl w:val="3"/>
        <w:numId w:val="1"/>
      </w:numPr>
      <w:spacing w:before="200" w:line="276" w:lineRule="auto"/>
      <w:outlineLvl w:val="3"/>
    </w:pPr>
    <w:rPr>
      <w:b/>
      <w:i/>
      <w:color w:val="4F81BD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6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666A"/>
  </w:style>
  <w:style w:type="paragraph" w:styleId="Piedepgina">
    <w:name w:val="footer"/>
    <w:basedOn w:val="Normal"/>
    <w:link w:val="PiedepginaCar"/>
    <w:uiPriority w:val="99"/>
    <w:unhideWhenUsed/>
    <w:rsid w:val="003A66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66A"/>
  </w:style>
  <w:style w:type="character" w:customStyle="1" w:styleId="Ttulo1Car">
    <w:name w:val="Título 1 Car"/>
    <w:aliases w:val="ABF Überschrift 1 Car"/>
    <w:basedOn w:val="Fuentedeprrafopredeter"/>
    <w:link w:val="Ttulo1"/>
    <w:uiPriority w:val="9"/>
    <w:rsid w:val="003A666A"/>
    <w:rPr>
      <w:rFonts w:ascii="Arial" w:eastAsia="Arial" w:hAnsi="Arial" w:cs="Arial"/>
      <w:b/>
      <w:color w:val="222222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3A666A"/>
    <w:rPr>
      <w:rFonts w:ascii="Arial" w:eastAsia="Arial" w:hAnsi="Arial" w:cs="Arial"/>
      <w:b/>
      <w:color w:val="222222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3A666A"/>
    <w:rPr>
      <w:rFonts w:ascii="Arial" w:eastAsia="Cambria" w:hAnsi="Arial" w:cs="Arial"/>
      <w:b/>
      <w:i/>
      <w:color w:val="4F81BD"/>
      <w:lang w:eastAsia="es-PE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,Ha"/>
    <w:basedOn w:val="Normal"/>
    <w:link w:val="PrrafodelistaCar"/>
    <w:uiPriority w:val="34"/>
    <w:qFormat/>
    <w:rsid w:val="003A666A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,Ha Car"/>
    <w:link w:val="Prrafodelista"/>
    <w:uiPriority w:val="34"/>
    <w:qFormat/>
    <w:locked/>
    <w:rsid w:val="003A666A"/>
    <w:rPr>
      <w:rFonts w:ascii="Arial" w:eastAsia="Cambria" w:hAnsi="Arial" w:cs="Arial"/>
      <w:color w:val="222222"/>
      <w:szCs w:val="19"/>
      <w:lang w:eastAsia="es-PE"/>
    </w:rPr>
  </w:style>
  <w:style w:type="table" w:styleId="Tablaconcuadrcula">
    <w:name w:val="Table Grid"/>
    <w:basedOn w:val="Tablanormal"/>
    <w:uiPriority w:val="39"/>
    <w:rsid w:val="009F5C88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 Poma Vega</dc:creator>
  <cp:keywords/>
  <dc:description/>
  <cp:lastModifiedBy>Cesar  Poma Vega</cp:lastModifiedBy>
  <cp:revision>2</cp:revision>
  <dcterms:created xsi:type="dcterms:W3CDTF">2020-10-08T16:29:00Z</dcterms:created>
  <dcterms:modified xsi:type="dcterms:W3CDTF">2020-10-08T16:29:00Z</dcterms:modified>
</cp:coreProperties>
</file>